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EA256" w14:textId="0DA8C615" w:rsidR="00F54741" w:rsidRPr="00873DFB" w:rsidRDefault="0023178D" w:rsidP="00552E61">
      <w:pPr>
        <w:jc w:val="center"/>
        <w:rPr>
          <w:rFonts w:ascii="Arial" w:hAnsi="Arial" w:cs="Arial"/>
          <w:b/>
          <w:noProof/>
          <w:sz w:val="24"/>
          <w:szCs w:val="24"/>
          <w:lang w:val="en-ID"/>
        </w:rPr>
      </w:pPr>
      <w:r w:rsidRPr="00873DFB">
        <w:rPr>
          <w:rFonts w:ascii="Arial" w:hAnsi="Arial" w:cs="Arial"/>
          <w:b/>
          <w:noProof/>
          <w:sz w:val="24"/>
          <w:szCs w:val="24"/>
          <w:lang w:val="en-ID"/>
        </w:rPr>
        <w:t xml:space="preserve">PERKEBUNAN SAWIT DARI PERSPEKTIF LINGKUNGAN DAN SAINS </w:t>
      </w:r>
    </w:p>
    <w:p w14:paraId="60E63113" w14:textId="2D985795" w:rsidR="0023178D" w:rsidRPr="00873DFB" w:rsidRDefault="00F54741" w:rsidP="0023178D">
      <w:pPr>
        <w:spacing w:after="0"/>
        <w:jc w:val="center"/>
        <w:rPr>
          <w:rFonts w:ascii="Arial" w:hAnsi="Arial" w:cs="Arial"/>
          <w:noProof/>
          <w:sz w:val="24"/>
          <w:szCs w:val="24"/>
          <w:lang w:val="en-ID"/>
        </w:rPr>
      </w:pPr>
      <w:r w:rsidRPr="00873DFB">
        <w:rPr>
          <w:rFonts w:ascii="Arial" w:hAnsi="Arial" w:cs="Arial"/>
          <w:noProof/>
          <w:sz w:val="24"/>
          <w:szCs w:val="24"/>
          <w:lang w:val="en-ID"/>
        </w:rPr>
        <w:t xml:space="preserve"> </w:t>
      </w:r>
      <w:r w:rsidR="0023178D" w:rsidRPr="00873DFB">
        <w:rPr>
          <w:rFonts w:ascii="Arial" w:hAnsi="Arial" w:cs="Arial"/>
          <w:noProof/>
          <w:sz w:val="24"/>
          <w:szCs w:val="24"/>
          <w:lang w:val="en-ID"/>
        </w:rPr>
        <w:t>Prima Soheti</w:t>
      </w:r>
      <w:r w:rsidRPr="00873DFB">
        <w:rPr>
          <w:rFonts w:ascii="Arial" w:hAnsi="Arial" w:cs="Arial"/>
          <w:noProof/>
          <w:sz w:val="24"/>
          <w:szCs w:val="24"/>
          <w:vertAlign w:val="superscript"/>
          <w:lang w:val="en-ID"/>
        </w:rPr>
        <w:t>1</w:t>
      </w:r>
      <w:r w:rsidR="00B57584" w:rsidRPr="00873DFB">
        <w:rPr>
          <w:rFonts w:ascii="Arial" w:hAnsi="Arial" w:cs="Arial"/>
          <w:noProof/>
          <w:sz w:val="24"/>
          <w:szCs w:val="24"/>
          <w:lang w:val="en-ID"/>
        </w:rPr>
        <w:t xml:space="preserve">, </w:t>
      </w:r>
      <w:r w:rsidR="0023178D" w:rsidRPr="00873DFB">
        <w:rPr>
          <w:rFonts w:ascii="Arial" w:hAnsi="Arial" w:cs="Arial"/>
          <w:noProof/>
          <w:sz w:val="24"/>
          <w:szCs w:val="24"/>
          <w:lang w:val="en-ID"/>
        </w:rPr>
        <w:t>Rayandra Asyha</w:t>
      </w:r>
      <w:r w:rsidR="00873DFB" w:rsidRPr="00873DFB">
        <w:rPr>
          <w:rFonts w:ascii="Arial" w:hAnsi="Arial" w:cs="Arial"/>
          <w:noProof/>
          <w:sz w:val="24"/>
          <w:szCs w:val="24"/>
          <w:lang w:val="en-ID"/>
        </w:rPr>
        <w:t>r</w:t>
      </w:r>
      <w:r w:rsidR="00B57584" w:rsidRPr="00873DFB">
        <w:rPr>
          <w:rFonts w:ascii="Arial" w:hAnsi="Arial" w:cs="Arial"/>
          <w:noProof/>
          <w:sz w:val="24"/>
          <w:szCs w:val="24"/>
          <w:vertAlign w:val="superscript"/>
          <w:lang w:val="en-ID"/>
        </w:rPr>
        <w:t>2</w:t>
      </w:r>
      <w:r w:rsidR="0023178D" w:rsidRPr="00873DFB">
        <w:rPr>
          <w:rFonts w:ascii="Arial" w:hAnsi="Arial" w:cs="Arial"/>
          <w:noProof/>
          <w:sz w:val="24"/>
          <w:szCs w:val="24"/>
          <w:lang w:val="en-ID"/>
        </w:rPr>
        <w:t>, Asrial</w:t>
      </w:r>
      <w:r w:rsidR="00873DFB" w:rsidRPr="00873DFB">
        <w:rPr>
          <w:rFonts w:ascii="Arial" w:hAnsi="Arial" w:cs="Arial"/>
          <w:noProof/>
          <w:sz w:val="24"/>
          <w:szCs w:val="24"/>
          <w:vertAlign w:val="superscript"/>
          <w:lang w:val="en-ID"/>
        </w:rPr>
        <w:t>3</w:t>
      </w:r>
      <w:r w:rsidR="0023178D" w:rsidRPr="00873DFB">
        <w:rPr>
          <w:rFonts w:ascii="Arial" w:hAnsi="Arial" w:cs="Arial"/>
          <w:noProof/>
          <w:sz w:val="24"/>
          <w:szCs w:val="24"/>
          <w:lang w:val="en-ID"/>
        </w:rPr>
        <w:t>, Syaiful</w:t>
      </w:r>
      <w:r w:rsidR="00873DFB" w:rsidRPr="00873DFB">
        <w:rPr>
          <w:rFonts w:ascii="Arial" w:hAnsi="Arial" w:cs="Arial"/>
          <w:noProof/>
          <w:sz w:val="24"/>
          <w:szCs w:val="24"/>
          <w:vertAlign w:val="superscript"/>
          <w:lang w:val="en-ID"/>
        </w:rPr>
        <w:t>4</w:t>
      </w:r>
    </w:p>
    <w:p w14:paraId="6B767549" w14:textId="79F586DB" w:rsidR="00F54741" w:rsidRPr="00873DFB" w:rsidRDefault="00F54741" w:rsidP="0023178D">
      <w:pPr>
        <w:spacing w:after="0"/>
        <w:jc w:val="center"/>
        <w:rPr>
          <w:rFonts w:ascii="Arial" w:hAnsi="Arial" w:cs="Arial"/>
          <w:noProof/>
          <w:sz w:val="24"/>
          <w:szCs w:val="24"/>
          <w:lang w:val="en-ID"/>
        </w:rPr>
      </w:pPr>
    </w:p>
    <w:p w14:paraId="3A7E6CA1" w14:textId="04EF248F" w:rsidR="00B57584" w:rsidRPr="00873DFB" w:rsidRDefault="00F54741" w:rsidP="00F54741">
      <w:pPr>
        <w:spacing w:after="0"/>
        <w:jc w:val="center"/>
        <w:rPr>
          <w:rFonts w:ascii="Arial" w:hAnsi="Arial" w:cs="Arial"/>
          <w:noProof/>
          <w:sz w:val="24"/>
          <w:szCs w:val="24"/>
          <w:lang w:val="en-ID"/>
        </w:rPr>
      </w:pPr>
      <w:r w:rsidRPr="00873DFB">
        <w:rPr>
          <w:rFonts w:ascii="Arial" w:hAnsi="Arial" w:cs="Arial"/>
          <w:noProof/>
          <w:sz w:val="24"/>
          <w:szCs w:val="24"/>
          <w:lang w:val="en-ID"/>
        </w:rPr>
        <w:t xml:space="preserve"> </w:t>
      </w:r>
      <w:r w:rsidRPr="00873DFB">
        <w:rPr>
          <w:rFonts w:ascii="Arial" w:hAnsi="Arial" w:cs="Arial"/>
          <w:noProof/>
          <w:sz w:val="24"/>
          <w:szCs w:val="24"/>
          <w:vertAlign w:val="superscript"/>
          <w:lang w:val="en-ID"/>
        </w:rPr>
        <w:t>1</w:t>
      </w:r>
      <w:r w:rsidR="0023178D" w:rsidRPr="00873DFB">
        <w:rPr>
          <w:rFonts w:ascii="Arial" w:hAnsi="Arial" w:cs="Arial"/>
          <w:noProof/>
          <w:sz w:val="24"/>
          <w:szCs w:val="24"/>
          <w:lang w:val="en-ID"/>
        </w:rPr>
        <w:t>Program Doktor Pendidikan MIPA, Pascasarjana Universitas Jambi</w:t>
      </w:r>
      <w:r w:rsidR="00B57584" w:rsidRPr="00873DFB">
        <w:rPr>
          <w:rFonts w:ascii="Arial" w:hAnsi="Arial" w:cs="Arial"/>
          <w:noProof/>
          <w:sz w:val="24"/>
          <w:szCs w:val="24"/>
          <w:lang w:val="en-ID"/>
        </w:rPr>
        <w:t xml:space="preserve"> </w:t>
      </w:r>
    </w:p>
    <w:p w14:paraId="79075BDC" w14:textId="655A4396" w:rsidR="00873DFB" w:rsidRPr="00873DFB" w:rsidRDefault="00873DFB" w:rsidP="00873DFB">
      <w:pPr>
        <w:spacing w:after="0"/>
        <w:jc w:val="center"/>
        <w:rPr>
          <w:rFonts w:ascii="Arial" w:hAnsi="Arial" w:cs="Arial"/>
          <w:noProof/>
          <w:sz w:val="24"/>
          <w:szCs w:val="24"/>
          <w:lang w:val="en-ID"/>
        </w:rPr>
      </w:pPr>
      <w:r w:rsidRPr="00873DFB">
        <w:rPr>
          <w:rFonts w:ascii="Arial" w:hAnsi="Arial" w:cs="Arial"/>
          <w:noProof/>
          <w:sz w:val="24"/>
          <w:szCs w:val="24"/>
          <w:vertAlign w:val="superscript"/>
          <w:lang w:val="en-ID"/>
        </w:rPr>
        <w:t>2</w:t>
      </w:r>
      <w:r w:rsidRPr="00873DFB">
        <w:rPr>
          <w:rFonts w:ascii="Arial" w:hAnsi="Arial" w:cs="Arial"/>
          <w:noProof/>
          <w:sz w:val="24"/>
          <w:szCs w:val="24"/>
          <w:lang w:val="en-ID"/>
        </w:rPr>
        <w:t xml:space="preserve">Program Doktor Pendidikan MIPA, Pascasarjana Universitas Jambi </w:t>
      </w:r>
    </w:p>
    <w:p w14:paraId="70DB2D86" w14:textId="52DFAFD3" w:rsidR="00873DFB" w:rsidRPr="00873DFB" w:rsidRDefault="00873DFB" w:rsidP="00873DFB">
      <w:pPr>
        <w:spacing w:after="0"/>
        <w:jc w:val="center"/>
        <w:rPr>
          <w:rFonts w:ascii="Arial" w:hAnsi="Arial" w:cs="Arial"/>
          <w:b/>
          <w:bCs/>
          <w:noProof/>
          <w:sz w:val="24"/>
          <w:szCs w:val="24"/>
          <w:lang w:val="en-ID"/>
        </w:rPr>
      </w:pPr>
      <w:r w:rsidRPr="00873DFB">
        <w:rPr>
          <w:rFonts w:ascii="Arial" w:hAnsi="Arial" w:cs="Arial"/>
          <w:noProof/>
          <w:sz w:val="24"/>
          <w:szCs w:val="24"/>
          <w:vertAlign w:val="superscript"/>
          <w:lang w:val="en-ID"/>
        </w:rPr>
        <w:t>3</w:t>
      </w:r>
      <w:r w:rsidRPr="00873DFB">
        <w:rPr>
          <w:rFonts w:ascii="Arial" w:hAnsi="Arial" w:cs="Arial"/>
          <w:noProof/>
          <w:sz w:val="24"/>
          <w:szCs w:val="24"/>
          <w:lang w:val="en-ID"/>
        </w:rPr>
        <w:t>Program Doktor Pendidikan MIPA, Pascasarjana Universitas Jambi</w:t>
      </w:r>
    </w:p>
    <w:p w14:paraId="64F09429" w14:textId="6A6925CA" w:rsidR="00873DFB" w:rsidRPr="00873DFB" w:rsidRDefault="00873DFB" w:rsidP="00873DFB">
      <w:pPr>
        <w:spacing w:after="0"/>
        <w:jc w:val="center"/>
        <w:rPr>
          <w:rFonts w:ascii="Arial" w:hAnsi="Arial" w:cs="Arial"/>
          <w:b/>
          <w:bCs/>
          <w:noProof/>
          <w:sz w:val="24"/>
          <w:szCs w:val="24"/>
          <w:lang w:val="en-ID"/>
        </w:rPr>
      </w:pPr>
      <w:r w:rsidRPr="00873DFB">
        <w:rPr>
          <w:rFonts w:ascii="Arial" w:hAnsi="Arial" w:cs="Arial"/>
          <w:noProof/>
          <w:sz w:val="24"/>
          <w:szCs w:val="24"/>
          <w:vertAlign w:val="superscript"/>
          <w:lang w:val="en-ID"/>
        </w:rPr>
        <w:t>4</w:t>
      </w:r>
      <w:r w:rsidRPr="00873DFB">
        <w:rPr>
          <w:rFonts w:ascii="Arial" w:hAnsi="Arial" w:cs="Arial"/>
          <w:noProof/>
          <w:sz w:val="24"/>
          <w:szCs w:val="24"/>
          <w:lang w:val="en-ID"/>
        </w:rPr>
        <w:t>Program Doktor Pendidikan MIPA, Pascasarjana Universitas Jambi</w:t>
      </w:r>
    </w:p>
    <w:p w14:paraId="6C9C65C4" w14:textId="7CEB31AF" w:rsidR="000B27BD" w:rsidRPr="000B27BD" w:rsidRDefault="00F54741" w:rsidP="000B27BD">
      <w:pPr>
        <w:spacing w:after="0" w:line="240" w:lineRule="auto"/>
        <w:jc w:val="center"/>
        <w:rPr>
          <w:rStyle w:val="Hyperlink"/>
          <w:rFonts w:ascii="Arial" w:eastAsia="MS Mincho" w:hAnsi="Arial" w:cs="Arial"/>
          <w:noProof/>
          <w:color w:val="auto"/>
          <w:sz w:val="20"/>
          <w:szCs w:val="24"/>
          <w:u w:val="none"/>
          <w:vertAlign w:val="superscript"/>
          <w:lang w:val="en-AU"/>
        </w:rPr>
      </w:pPr>
      <w:r w:rsidRPr="00873DFB">
        <w:rPr>
          <w:rFonts w:ascii="Arial" w:hAnsi="Arial" w:cs="Arial"/>
          <w:noProof/>
          <w:sz w:val="24"/>
          <w:szCs w:val="24"/>
          <w:lang w:val="en-ID"/>
        </w:rPr>
        <w:t xml:space="preserve">Alamat e-mail : </w:t>
      </w:r>
      <w:hyperlink r:id="rId8" w:history="1">
        <w:r w:rsidR="00912BA1" w:rsidRPr="00E50B54">
          <w:rPr>
            <w:rStyle w:val="Hyperlink"/>
            <w:rFonts w:ascii="Arial" w:hAnsi="Arial" w:cs="Arial"/>
            <w:noProof/>
            <w:sz w:val="24"/>
            <w:szCs w:val="24"/>
            <w:vertAlign w:val="superscript"/>
            <w:lang w:val="en-ID"/>
          </w:rPr>
          <w:t>1</w:t>
        </w:r>
        <w:r w:rsidR="00912BA1" w:rsidRPr="00E50B54">
          <w:rPr>
            <w:rStyle w:val="Hyperlink"/>
            <w:rFonts w:ascii="Arial" w:hAnsi="Arial" w:cs="Arial"/>
            <w:noProof/>
            <w:sz w:val="24"/>
            <w:szCs w:val="24"/>
            <w:lang w:val="en-ID"/>
          </w:rPr>
          <w:t>prima@tau.ac.id</w:t>
        </w:r>
      </w:hyperlink>
      <w:r w:rsidR="00F7393C" w:rsidRPr="00873DFB">
        <w:rPr>
          <w:rFonts w:ascii="Arial" w:hAnsi="Arial" w:cs="Arial"/>
          <w:noProof/>
          <w:sz w:val="24"/>
          <w:szCs w:val="24"/>
          <w:lang w:val="en-ID"/>
        </w:rPr>
        <w:t xml:space="preserve"> </w:t>
      </w:r>
      <w:hyperlink r:id="rId9" w:history="1">
        <w:r w:rsidR="00912BA1" w:rsidRPr="00E50B54">
          <w:rPr>
            <w:rStyle w:val="Hyperlink"/>
            <w:rFonts w:ascii="Arial" w:hAnsi="Arial" w:cs="Arial"/>
            <w:noProof/>
            <w:sz w:val="24"/>
            <w:szCs w:val="24"/>
            <w:vertAlign w:val="superscript"/>
            <w:lang w:val="en-ID"/>
          </w:rPr>
          <w:t>2</w:t>
        </w:r>
        <w:r w:rsidR="00912BA1" w:rsidRPr="00E50B54">
          <w:rPr>
            <w:rStyle w:val="Hyperlink"/>
            <w:rFonts w:ascii="Arial" w:hAnsi="Arial" w:cs="Arial"/>
            <w:noProof/>
            <w:sz w:val="24"/>
            <w:szCs w:val="24"/>
            <w:lang w:val="en-ID"/>
          </w:rPr>
          <w:t>rayandra@unja.ac.id</w:t>
        </w:r>
      </w:hyperlink>
      <w:r w:rsidR="000B27BD" w:rsidRPr="00873DFB">
        <w:rPr>
          <w:rFonts w:ascii="Arial" w:hAnsi="Arial" w:cs="Arial"/>
          <w:noProof/>
          <w:sz w:val="24"/>
          <w:szCs w:val="24"/>
          <w:lang w:val="en-ID"/>
        </w:rPr>
        <w:t xml:space="preserve"> </w:t>
      </w:r>
      <w:hyperlink r:id="rId10" w:history="1">
        <w:r w:rsidR="00912BA1" w:rsidRPr="00E50B54">
          <w:rPr>
            <w:rStyle w:val="Hyperlink"/>
            <w:rFonts w:ascii="Arial" w:hAnsi="Arial" w:cs="Arial"/>
            <w:noProof/>
            <w:sz w:val="24"/>
            <w:szCs w:val="24"/>
            <w:vertAlign w:val="superscript"/>
            <w:lang w:val="en-ID"/>
          </w:rPr>
          <w:t>3</w:t>
        </w:r>
        <w:r w:rsidR="00912BA1" w:rsidRPr="00E50B54">
          <w:rPr>
            <w:rStyle w:val="Hyperlink"/>
            <w:rFonts w:ascii="Arial" w:hAnsi="Arial" w:cs="Arial"/>
            <w:noProof/>
            <w:sz w:val="24"/>
            <w:szCs w:val="24"/>
            <w:lang w:val="en-ID"/>
          </w:rPr>
          <w:t>asrial@unja.ac.id</w:t>
        </w:r>
      </w:hyperlink>
      <w:r w:rsidR="000B27BD" w:rsidRPr="00873DFB">
        <w:rPr>
          <w:rFonts w:ascii="Arial" w:hAnsi="Arial" w:cs="Arial"/>
          <w:noProof/>
          <w:sz w:val="24"/>
          <w:szCs w:val="24"/>
          <w:lang w:val="en-ID"/>
        </w:rPr>
        <w:t xml:space="preserve"> </w:t>
      </w:r>
      <w:hyperlink r:id="rId11" w:history="1">
        <w:r w:rsidR="00912BA1" w:rsidRPr="00E50B54">
          <w:rPr>
            <w:rStyle w:val="Hyperlink"/>
            <w:rFonts w:ascii="Arial" w:hAnsi="Arial" w:cs="Arial"/>
            <w:noProof/>
            <w:sz w:val="24"/>
            <w:szCs w:val="24"/>
            <w:vertAlign w:val="superscript"/>
            <w:lang w:val="en-ID"/>
          </w:rPr>
          <w:t>4</w:t>
        </w:r>
        <w:r w:rsidR="00912BA1" w:rsidRPr="00E50B54">
          <w:rPr>
            <w:rStyle w:val="Hyperlink"/>
            <w:rFonts w:ascii="Arial" w:hAnsi="Arial" w:cs="Arial"/>
            <w:noProof/>
            <w:sz w:val="24"/>
            <w:szCs w:val="24"/>
            <w:lang w:val="en-ID"/>
          </w:rPr>
          <w:t>pak_bakri@unja.ac.id</w:t>
        </w:r>
      </w:hyperlink>
      <w:r w:rsidR="000B27BD" w:rsidRPr="00873DFB">
        <w:rPr>
          <w:rFonts w:ascii="Arial" w:hAnsi="Arial" w:cs="Arial"/>
          <w:noProof/>
          <w:sz w:val="24"/>
          <w:szCs w:val="24"/>
          <w:lang w:val="en-ID"/>
        </w:rPr>
        <w:t xml:space="preserve"> </w:t>
      </w:r>
    </w:p>
    <w:p w14:paraId="6D83B0D7" w14:textId="65DE0833" w:rsidR="0042703F" w:rsidRDefault="0042703F" w:rsidP="00F54741">
      <w:pPr>
        <w:spacing w:after="0"/>
        <w:jc w:val="center"/>
        <w:rPr>
          <w:rFonts w:ascii="Arial" w:hAnsi="Arial" w:cs="Arial"/>
          <w:noProof/>
          <w:sz w:val="24"/>
          <w:szCs w:val="24"/>
          <w:lang w:val="en-ID"/>
        </w:rPr>
      </w:pPr>
    </w:p>
    <w:p w14:paraId="11ED6FA9" w14:textId="77777777" w:rsidR="00912BA1" w:rsidRPr="00873DFB" w:rsidRDefault="00912BA1" w:rsidP="00F54741">
      <w:pPr>
        <w:spacing w:after="0"/>
        <w:jc w:val="center"/>
        <w:rPr>
          <w:rFonts w:ascii="Arial" w:hAnsi="Arial" w:cs="Arial"/>
          <w:noProof/>
          <w:sz w:val="24"/>
          <w:szCs w:val="24"/>
          <w:lang w:val="en-ID"/>
        </w:rPr>
      </w:pPr>
    </w:p>
    <w:p w14:paraId="70242B01" w14:textId="77777777" w:rsidR="00F54741" w:rsidRPr="00873DFB" w:rsidRDefault="00F54741" w:rsidP="00361FF9">
      <w:pPr>
        <w:jc w:val="center"/>
        <w:rPr>
          <w:rFonts w:ascii="Arial" w:hAnsi="Arial" w:cs="Arial"/>
          <w:b/>
          <w:i/>
          <w:noProof/>
          <w:sz w:val="24"/>
          <w:szCs w:val="24"/>
          <w:lang w:val="en-ID"/>
        </w:rPr>
      </w:pPr>
      <w:r w:rsidRPr="00873DFB">
        <w:rPr>
          <w:rFonts w:ascii="Arial" w:hAnsi="Arial" w:cs="Arial"/>
          <w:b/>
          <w:i/>
          <w:noProof/>
          <w:sz w:val="24"/>
          <w:szCs w:val="24"/>
          <w:lang w:val="en-ID"/>
        </w:rPr>
        <w:t>ABSTRACT</w:t>
      </w:r>
    </w:p>
    <w:p w14:paraId="3692ABCB" w14:textId="2E4CBA5B" w:rsidR="00361FF9" w:rsidRPr="00873DFB" w:rsidRDefault="00873DFB" w:rsidP="005C600E">
      <w:pPr>
        <w:jc w:val="both"/>
        <w:rPr>
          <w:rFonts w:ascii="Arial" w:hAnsi="Arial" w:cs="Arial"/>
          <w:i/>
          <w:noProof/>
          <w:sz w:val="24"/>
          <w:szCs w:val="24"/>
          <w:lang w:val="en-ID"/>
        </w:rPr>
      </w:pPr>
      <w:r w:rsidRPr="00873DFB">
        <w:rPr>
          <w:rFonts w:ascii="Arial" w:hAnsi="Arial" w:cs="Arial"/>
          <w:i/>
          <w:noProof/>
          <w:sz w:val="24"/>
          <w:szCs w:val="24"/>
          <w:lang w:val="en-ID"/>
        </w:rPr>
        <w:t>This study presents a critical analysis of oil palm (Elaeis guineensis) plantation practices through the lenses of environmental philosophy and science. The analysis integrates recent quantitative data on land area, production, and environmental impacts, particularly their connections to deforestation and greenhouse gas emissions, with theoretical frameworks such as deep ecology, ecofeminism, and environmental ethics. This integration aims to explore both the normative and empirical dimensions of oil palm expansion. The methods employed consist of a critical literature review, synthesis of secondary data from both international and national institutions, and an interdisciplinary analytical framework. Key findings indicate that oil palm expansion contributes substantially to land conversion and emissions, while also serving an important economic function for producing countries. The tension between economic prosperity and environmental sustainability in these countries demands stronger, legally based policies, transparent land governance mechanisms, and restoration measures for affected peatlands. Practical recommendations include strengthening concession permit regulations, incentivizing sustainable oil palm practices, peatland rewetting, and supporting small-scale farmers to transition to agroforestry practices and credible certification schemes</w:t>
      </w:r>
      <w:r>
        <w:rPr>
          <w:rFonts w:ascii="Arial" w:hAnsi="Arial" w:cs="Arial"/>
          <w:i/>
          <w:noProof/>
          <w:sz w:val="24"/>
          <w:szCs w:val="24"/>
          <w:lang w:val="en-ID"/>
        </w:rPr>
        <w:t>.</w:t>
      </w:r>
    </w:p>
    <w:p w14:paraId="33D549E9" w14:textId="069FCDA3" w:rsidR="00F54741" w:rsidRPr="00873DFB" w:rsidRDefault="00F54741" w:rsidP="00361FF9">
      <w:pPr>
        <w:jc w:val="both"/>
        <w:rPr>
          <w:rFonts w:ascii="Arial" w:hAnsi="Arial" w:cs="Arial"/>
          <w:i/>
          <w:noProof/>
          <w:sz w:val="24"/>
          <w:szCs w:val="24"/>
          <w:lang w:val="en-ID"/>
        </w:rPr>
      </w:pPr>
      <w:r w:rsidRPr="00873DFB">
        <w:rPr>
          <w:rFonts w:ascii="Arial" w:hAnsi="Arial" w:cs="Arial"/>
          <w:i/>
          <w:noProof/>
          <w:sz w:val="24"/>
          <w:szCs w:val="24"/>
          <w:lang w:val="en-ID"/>
        </w:rPr>
        <w:t xml:space="preserve">Keywords: </w:t>
      </w:r>
      <w:r w:rsidR="00C2018F" w:rsidRPr="00C2018F">
        <w:rPr>
          <w:rFonts w:ascii="Arial" w:hAnsi="Arial" w:cs="Arial"/>
          <w:i/>
          <w:noProof/>
          <w:sz w:val="24"/>
          <w:szCs w:val="24"/>
          <w:lang w:val="en-ID"/>
        </w:rPr>
        <w:t>oil palm plantations</w:t>
      </w:r>
      <w:r w:rsidR="00C2018F">
        <w:rPr>
          <w:rFonts w:ascii="Arial" w:hAnsi="Arial" w:cs="Arial"/>
          <w:i/>
          <w:noProof/>
          <w:sz w:val="24"/>
          <w:szCs w:val="24"/>
          <w:lang w:val="en-ID"/>
        </w:rPr>
        <w:t xml:space="preserve">, </w:t>
      </w:r>
      <w:r w:rsidR="00C2018F" w:rsidRPr="00C2018F">
        <w:rPr>
          <w:rFonts w:ascii="Arial" w:hAnsi="Arial" w:cs="Arial"/>
          <w:i/>
          <w:noProof/>
          <w:sz w:val="24"/>
          <w:szCs w:val="24"/>
          <w:lang w:val="en-ID"/>
        </w:rPr>
        <w:t>environmental philosophy</w:t>
      </w:r>
      <w:r w:rsidR="00C2018F">
        <w:rPr>
          <w:rFonts w:ascii="Arial" w:hAnsi="Arial" w:cs="Arial"/>
          <w:i/>
          <w:noProof/>
          <w:sz w:val="24"/>
          <w:szCs w:val="24"/>
          <w:lang w:val="en-ID"/>
        </w:rPr>
        <w:t xml:space="preserve">, </w:t>
      </w:r>
      <w:r w:rsidR="00C2018F" w:rsidRPr="00C2018F">
        <w:rPr>
          <w:rFonts w:ascii="Arial" w:hAnsi="Arial" w:cs="Arial"/>
          <w:i/>
          <w:noProof/>
          <w:sz w:val="24"/>
          <w:szCs w:val="24"/>
          <w:lang w:val="en-ID"/>
        </w:rPr>
        <w:t>deforestation</w:t>
      </w:r>
      <w:r w:rsidR="00C2018F">
        <w:rPr>
          <w:rFonts w:ascii="Arial" w:hAnsi="Arial" w:cs="Arial"/>
          <w:i/>
          <w:noProof/>
          <w:sz w:val="24"/>
          <w:szCs w:val="24"/>
          <w:lang w:val="en-ID"/>
        </w:rPr>
        <w:t xml:space="preserve">, </w:t>
      </w:r>
      <w:r w:rsidR="00C2018F" w:rsidRPr="00C2018F">
        <w:rPr>
          <w:rFonts w:ascii="Arial" w:hAnsi="Arial" w:cs="Arial"/>
          <w:i/>
          <w:noProof/>
          <w:sz w:val="24"/>
          <w:szCs w:val="24"/>
          <w:lang w:val="en-ID"/>
        </w:rPr>
        <w:t>carbon</w:t>
      </w:r>
      <w:r w:rsidR="00C2018F">
        <w:rPr>
          <w:rFonts w:ascii="Arial" w:hAnsi="Arial" w:cs="Arial"/>
          <w:i/>
          <w:noProof/>
          <w:sz w:val="24"/>
          <w:szCs w:val="24"/>
          <w:lang w:val="en-ID"/>
        </w:rPr>
        <w:t xml:space="preserve"> </w:t>
      </w:r>
      <w:r w:rsidR="00C2018F" w:rsidRPr="00C2018F">
        <w:rPr>
          <w:rFonts w:ascii="Arial" w:hAnsi="Arial" w:cs="Arial"/>
          <w:i/>
          <w:noProof/>
          <w:sz w:val="24"/>
          <w:szCs w:val="24"/>
          <w:lang w:val="en-ID"/>
        </w:rPr>
        <w:t>emissions</w:t>
      </w:r>
      <w:r w:rsidR="00C2018F">
        <w:rPr>
          <w:rFonts w:ascii="Arial" w:hAnsi="Arial" w:cs="Arial"/>
          <w:i/>
          <w:noProof/>
          <w:sz w:val="24"/>
          <w:szCs w:val="24"/>
          <w:lang w:val="en-ID"/>
        </w:rPr>
        <w:t xml:space="preserve">, </w:t>
      </w:r>
      <w:r w:rsidR="00C2018F" w:rsidRPr="00C2018F">
        <w:rPr>
          <w:rFonts w:ascii="Arial" w:hAnsi="Arial" w:cs="Arial"/>
          <w:i/>
          <w:noProof/>
          <w:sz w:val="24"/>
          <w:szCs w:val="24"/>
          <w:lang w:val="en-ID"/>
        </w:rPr>
        <w:t>deep ecology.</w:t>
      </w:r>
    </w:p>
    <w:p w14:paraId="18814E35" w14:textId="77777777" w:rsidR="00F54741" w:rsidRPr="00873DFB" w:rsidRDefault="00F54741" w:rsidP="005C600E">
      <w:pPr>
        <w:jc w:val="center"/>
        <w:rPr>
          <w:rFonts w:ascii="Arial" w:hAnsi="Arial" w:cs="Arial"/>
          <w:b/>
          <w:noProof/>
          <w:sz w:val="24"/>
          <w:szCs w:val="24"/>
          <w:lang w:val="en-ID"/>
        </w:rPr>
      </w:pPr>
      <w:r w:rsidRPr="00873DFB">
        <w:rPr>
          <w:rFonts w:ascii="Arial" w:hAnsi="Arial" w:cs="Arial"/>
          <w:b/>
          <w:noProof/>
          <w:sz w:val="24"/>
          <w:szCs w:val="24"/>
          <w:lang w:val="en-ID"/>
        </w:rPr>
        <w:t>ABSTRAK</w:t>
      </w:r>
    </w:p>
    <w:p w14:paraId="696FDA58" w14:textId="22A4499E" w:rsidR="00287E18" w:rsidRDefault="00873DFB" w:rsidP="00287E18">
      <w:pPr>
        <w:spacing w:after="0"/>
        <w:jc w:val="both"/>
        <w:rPr>
          <w:rFonts w:ascii="Arial" w:hAnsi="Arial" w:cs="Arial"/>
          <w:noProof/>
          <w:sz w:val="24"/>
          <w:szCs w:val="24"/>
          <w:lang w:val="en-ID"/>
        </w:rPr>
      </w:pPr>
      <w:r w:rsidRPr="00873DFB">
        <w:rPr>
          <w:rFonts w:ascii="Arial" w:hAnsi="Arial" w:cs="Arial"/>
          <w:noProof/>
          <w:sz w:val="24"/>
          <w:szCs w:val="24"/>
          <w:lang w:val="en-ID"/>
        </w:rPr>
        <w:t>Kajian ini menyajikan analisis kritis terhadap praktik perkebunan sawit (</w:t>
      </w:r>
      <w:r w:rsidRPr="00873DFB">
        <w:rPr>
          <w:rFonts w:ascii="Arial" w:hAnsi="Arial" w:cs="Arial"/>
          <w:i/>
          <w:iCs/>
          <w:noProof/>
          <w:sz w:val="24"/>
          <w:szCs w:val="24"/>
          <w:lang w:val="en-ID"/>
        </w:rPr>
        <w:t>Elaeis guineensis</w:t>
      </w:r>
      <w:r w:rsidRPr="00873DFB">
        <w:rPr>
          <w:rFonts w:ascii="Arial" w:hAnsi="Arial" w:cs="Arial"/>
          <w:noProof/>
          <w:sz w:val="24"/>
          <w:szCs w:val="24"/>
          <w:lang w:val="en-ID"/>
        </w:rPr>
        <w:t>)</w:t>
      </w:r>
      <w:r>
        <w:rPr>
          <w:rFonts w:ascii="Arial" w:hAnsi="Arial" w:cs="Arial"/>
          <w:noProof/>
          <w:sz w:val="24"/>
          <w:szCs w:val="24"/>
          <w:lang w:val="en-ID"/>
        </w:rPr>
        <w:t xml:space="preserve"> </w:t>
      </w:r>
      <w:r w:rsidRPr="00873DFB">
        <w:rPr>
          <w:rFonts w:ascii="Arial" w:hAnsi="Arial" w:cs="Arial"/>
          <w:noProof/>
          <w:sz w:val="24"/>
          <w:szCs w:val="24"/>
          <w:lang w:val="en-ID"/>
        </w:rPr>
        <w:t xml:space="preserve">dari perspektif filsafat lingkungan dan ilmu pengetahuan (sains). Analisis menggabungkan data kuantitatif terbaru mengenai luas lahan, produksi, dan dampak lingkungan, termasuk kaitannya dengan deforestasi dan emisi gas rumah kaca, dengan landasan teoretis seperti </w:t>
      </w:r>
      <w:r w:rsidRPr="009A5C88">
        <w:rPr>
          <w:rFonts w:ascii="Arial" w:hAnsi="Arial" w:cs="Arial"/>
          <w:i/>
          <w:iCs/>
          <w:noProof/>
          <w:sz w:val="24"/>
          <w:szCs w:val="24"/>
          <w:lang w:val="en-ID"/>
        </w:rPr>
        <w:t>deep ecology, ecofeminism</w:t>
      </w:r>
      <w:r w:rsidRPr="00873DFB">
        <w:rPr>
          <w:rFonts w:ascii="Arial" w:hAnsi="Arial" w:cs="Arial"/>
          <w:noProof/>
          <w:sz w:val="24"/>
          <w:szCs w:val="24"/>
          <w:lang w:val="en-ID"/>
        </w:rPr>
        <w:t xml:space="preserve">, dan etika lingkungan yang relevan untuk memahami dimensi normatif dan empiris dari ekspansi sawit. Metode yang digunakan adalah studi literatur kritis, sintesis data </w:t>
      </w:r>
      <w:r w:rsidRPr="00873DFB">
        <w:rPr>
          <w:rFonts w:ascii="Arial" w:hAnsi="Arial" w:cs="Arial"/>
          <w:noProof/>
          <w:sz w:val="24"/>
          <w:szCs w:val="24"/>
          <w:lang w:val="en-ID"/>
        </w:rPr>
        <w:lastRenderedPageBreak/>
        <w:t>sekunder dari lembaga internasional dan nasional, serta pendekatan analitis interdisipliner. Temuan utama menunjukkan bahwa ekspansi sawit berkontribusi signifikan terhadap konversi lahan dan emisi, tetapi juga memiliki peran ekonomi yang besar bagi negara-negara produsen. Ketegangan antara kesejahteraan ekonomi dan keberlanjutan lingkungan pada negara-negara tersebut menuntut kebijakan berbasis hukum yang lebih tegas, mekanisme tata kelola lahan yang transparan, serta tindakan restorasi pada lahan gambut yang terdampak. Rekomendasi praktis meliputi penguatan regulasi izin konsesi, insentif untuk praktik sawit berkelanjutan,</w:t>
      </w:r>
      <w:r w:rsidRPr="009D6DF5">
        <w:rPr>
          <w:rFonts w:ascii="Arial" w:hAnsi="Arial" w:cs="Arial"/>
          <w:i/>
          <w:iCs/>
          <w:noProof/>
          <w:sz w:val="24"/>
          <w:szCs w:val="24"/>
          <w:lang w:val="en-ID"/>
        </w:rPr>
        <w:t xml:space="preserve"> rewetting</w:t>
      </w:r>
      <w:r w:rsidRPr="00873DFB">
        <w:rPr>
          <w:rFonts w:ascii="Arial" w:hAnsi="Arial" w:cs="Arial"/>
          <w:noProof/>
          <w:sz w:val="24"/>
          <w:szCs w:val="24"/>
          <w:lang w:val="en-ID"/>
        </w:rPr>
        <w:t xml:space="preserve"> lahan gambut, serta dukungan pada petani skala kecil untuk transisi ke praktik wanatani dan sertifikasi yang kredibel.</w:t>
      </w:r>
    </w:p>
    <w:p w14:paraId="13F565A5" w14:textId="77777777" w:rsidR="009A5C88" w:rsidRPr="00873DFB" w:rsidRDefault="009A5C88" w:rsidP="00287E18">
      <w:pPr>
        <w:spacing w:after="0"/>
        <w:jc w:val="both"/>
        <w:rPr>
          <w:rFonts w:ascii="Arial" w:hAnsi="Arial" w:cs="Arial"/>
          <w:noProof/>
          <w:sz w:val="24"/>
          <w:szCs w:val="24"/>
          <w:lang w:val="en-ID"/>
        </w:rPr>
      </w:pPr>
    </w:p>
    <w:p w14:paraId="031847CD" w14:textId="25BDFFA3" w:rsidR="005C600E" w:rsidRPr="00873DFB" w:rsidRDefault="005C600E" w:rsidP="00287E18">
      <w:pPr>
        <w:spacing w:after="0"/>
        <w:jc w:val="both"/>
        <w:rPr>
          <w:rFonts w:ascii="Arial" w:hAnsi="Arial" w:cs="Arial"/>
          <w:noProof/>
          <w:sz w:val="24"/>
          <w:szCs w:val="24"/>
          <w:lang w:val="en-ID"/>
        </w:rPr>
      </w:pPr>
      <w:r w:rsidRPr="00873DFB">
        <w:rPr>
          <w:rFonts w:ascii="Arial" w:hAnsi="Arial" w:cs="Arial"/>
          <w:noProof/>
          <w:sz w:val="24"/>
          <w:szCs w:val="24"/>
          <w:lang w:val="en-ID"/>
        </w:rPr>
        <w:t xml:space="preserve">Kata Kunci: </w:t>
      </w:r>
      <w:r w:rsidR="00873DFB" w:rsidRPr="00873DFB">
        <w:rPr>
          <w:rFonts w:ascii="Arial" w:hAnsi="Arial" w:cs="Arial"/>
          <w:noProof/>
          <w:sz w:val="24"/>
          <w:szCs w:val="24"/>
          <w:lang w:val="en-ID"/>
        </w:rPr>
        <w:t>perkebunan sawit</w:t>
      </w:r>
      <w:r w:rsidR="00873DFB">
        <w:rPr>
          <w:rFonts w:ascii="Arial" w:hAnsi="Arial" w:cs="Arial"/>
          <w:noProof/>
          <w:sz w:val="24"/>
          <w:szCs w:val="24"/>
          <w:lang w:val="en-ID"/>
        </w:rPr>
        <w:t xml:space="preserve">, </w:t>
      </w:r>
      <w:r w:rsidR="00873DFB" w:rsidRPr="00873DFB">
        <w:rPr>
          <w:rFonts w:ascii="Arial" w:hAnsi="Arial" w:cs="Arial"/>
          <w:noProof/>
          <w:sz w:val="24"/>
          <w:szCs w:val="24"/>
          <w:lang w:val="en-ID"/>
        </w:rPr>
        <w:t>filsafat lingkungan</w:t>
      </w:r>
      <w:r w:rsidR="00873DFB">
        <w:rPr>
          <w:rFonts w:ascii="Arial" w:hAnsi="Arial" w:cs="Arial"/>
          <w:noProof/>
          <w:sz w:val="24"/>
          <w:szCs w:val="24"/>
          <w:lang w:val="en-ID"/>
        </w:rPr>
        <w:t xml:space="preserve">, </w:t>
      </w:r>
      <w:r w:rsidR="00873DFB" w:rsidRPr="00873DFB">
        <w:rPr>
          <w:rFonts w:ascii="Arial" w:hAnsi="Arial" w:cs="Arial"/>
          <w:noProof/>
          <w:sz w:val="24"/>
          <w:szCs w:val="24"/>
          <w:lang w:val="en-ID"/>
        </w:rPr>
        <w:t>deforestasi</w:t>
      </w:r>
      <w:r w:rsidR="00873DFB">
        <w:rPr>
          <w:rFonts w:ascii="Arial" w:hAnsi="Arial" w:cs="Arial"/>
          <w:noProof/>
          <w:sz w:val="24"/>
          <w:szCs w:val="24"/>
          <w:lang w:val="en-ID"/>
        </w:rPr>
        <w:t xml:space="preserve">, </w:t>
      </w:r>
      <w:r w:rsidR="00873DFB" w:rsidRPr="00873DFB">
        <w:rPr>
          <w:rFonts w:ascii="Arial" w:hAnsi="Arial" w:cs="Arial"/>
          <w:noProof/>
          <w:sz w:val="24"/>
          <w:szCs w:val="24"/>
          <w:lang w:val="en-ID"/>
        </w:rPr>
        <w:t>emisi karbon</w:t>
      </w:r>
      <w:r w:rsidR="00873DFB">
        <w:rPr>
          <w:rFonts w:ascii="Arial" w:hAnsi="Arial" w:cs="Arial"/>
          <w:noProof/>
          <w:sz w:val="24"/>
          <w:szCs w:val="24"/>
          <w:lang w:val="en-ID"/>
        </w:rPr>
        <w:t xml:space="preserve">, </w:t>
      </w:r>
      <w:r w:rsidR="00873DFB" w:rsidRPr="00873DFB">
        <w:rPr>
          <w:rFonts w:ascii="Arial" w:hAnsi="Arial" w:cs="Arial"/>
          <w:i/>
          <w:iCs/>
          <w:noProof/>
          <w:sz w:val="24"/>
          <w:szCs w:val="24"/>
          <w:lang w:val="en-ID"/>
        </w:rPr>
        <w:t>deep ecology</w:t>
      </w:r>
      <w:r w:rsidR="00873DFB" w:rsidRPr="00873DFB">
        <w:rPr>
          <w:rFonts w:ascii="Arial" w:hAnsi="Arial" w:cs="Arial"/>
          <w:noProof/>
          <w:sz w:val="24"/>
          <w:szCs w:val="24"/>
          <w:lang w:val="en-ID"/>
        </w:rPr>
        <w:t>.</w:t>
      </w:r>
    </w:p>
    <w:p w14:paraId="1E639DF1" w14:textId="77777777" w:rsidR="00B57584" w:rsidRDefault="00B57584" w:rsidP="00287E18">
      <w:pPr>
        <w:spacing w:after="0"/>
        <w:rPr>
          <w:rFonts w:ascii="Arial" w:hAnsi="Arial" w:cs="Arial"/>
          <w:noProof/>
          <w:color w:val="000000" w:themeColor="text1"/>
          <w:sz w:val="24"/>
          <w:szCs w:val="24"/>
          <w:lang w:val="en-ID"/>
        </w:rPr>
      </w:pPr>
    </w:p>
    <w:p w14:paraId="6CE4FE76" w14:textId="77777777" w:rsidR="009A5C88" w:rsidRDefault="009A5C88" w:rsidP="00287E18">
      <w:pPr>
        <w:spacing w:after="0"/>
        <w:rPr>
          <w:rFonts w:ascii="Arial" w:hAnsi="Arial" w:cs="Arial"/>
          <w:noProof/>
          <w:color w:val="000000" w:themeColor="text1"/>
          <w:sz w:val="24"/>
          <w:szCs w:val="24"/>
          <w:lang w:val="en-ID"/>
        </w:rPr>
      </w:pPr>
    </w:p>
    <w:p w14:paraId="58867F07" w14:textId="77777777" w:rsidR="009A5C88" w:rsidRPr="00873DFB" w:rsidRDefault="009A5C88" w:rsidP="00287E18">
      <w:pPr>
        <w:spacing w:after="0"/>
        <w:rPr>
          <w:rFonts w:ascii="Arial" w:hAnsi="Arial" w:cs="Arial"/>
          <w:b/>
          <w:noProof/>
          <w:sz w:val="24"/>
          <w:szCs w:val="24"/>
          <w:lang w:val="en-ID"/>
        </w:rPr>
        <w:sectPr w:rsidR="009A5C88" w:rsidRPr="00873DFB" w:rsidSect="00912BA1">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720" w:footer="720" w:gutter="0"/>
          <w:pgNumType w:start="315"/>
          <w:cols w:space="720"/>
          <w:docGrid w:linePitch="360"/>
        </w:sectPr>
      </w:pPr>
    </w:p>
    <w:p w14:paraId="3AC4251B" w14:textId="725878F5" w:rsidR="00F54741" w:rsidRPr="00873DFB" w:rsidRDefault="005C600E" w:rsidP="005C600E">
      <w:pPr>
        <w:tabs>
          <w:tab w:val="left" w:pos="284"/>
        </w:tabs>
        <w:spacing w:after="0" w:line="360" w:lineRule="auto"/>
        <w:ind w:left="284" w:hanging="284"/>
        <w:jc w:val="both"/>
        <w:rPr>
          <w:rFonts w:ascii="Arial" w:hAnsi="Arial" w:cs="Arial"/>
          <w:b/>
          <w:noProof/>
          <w:sz w:val="24"/>
          <w:szCs w:val="24"/>
          <w:lang w:val="en-ID"/>
        </w:rPr>
      </w:pPr>
      <w:r w:rsidRPr="00873DFB">
        <w:rPr>
          <w:rFonts w:ascii="Arial" w:hAnsi="Arial" w:cs="Arial"/>
          <w:b/>
          <w:noProof/>
          <w:sz w:val="24"/>
          <w:szCs w:val="24"/>
          <w:lang w:val="en-ID"/>
        </w:rPr>
        <w:t>A.</w:t>
      </w:r>
      <w:r w:rsidRPr="00873DFB">
        <w:rPr>
          <w:rFonts w:ascii="Arial" w:hAnsi="Arial" w:cs="Arial"/>
          <w:b/>
          <w:noProof/>
          <w:sz w:val="24"/>
          <w:szCs w:val="24"/>
          <w:lang w:val="en-ID"/>
        </w:rPr>
        <w:tab/>
      </w:r>
      <w:r w:rsidR="00F54741" w:rsidRPr="00873DFB">
        <w:rPr>
          <w:rFonts w:ascii="Arial" w:hAnsi="Arial" w:cs="Arial"/>
          <w:b/>
          <w:noProof/>
          <w:sz w:val="24"/>
          <w:szCs w:val="24"/>
          <w:lang w:val="en-ID"/>
        </w:rPr>
        <w:t>Pendahuluan</w:t>
      </w:r>
      <w:r w:rsidR="00287E18" w:rsidRPr="00873DFB">
        <w:rPr>
          <w:rFonts w:ascii="Arial" w:hAnsi="Arial" w:cs="Arial"/>
          <w:b/>
          <w:noProof/>
          <w:sz w:val="24"/>
          <w:szCs w:val="24"/>
          <w:lang w:val="en-ID"/>
        </w:rPr>
        <w:t xml:space="preserve"> </w:t>
      </w:r>
    </w:p>
    <w:p w14:paraId="0FE70423" w14:textId="24B456D8" w:rsidR="009A5C88" w:rsidRPr="009A5C88" w:rsidRDefault="009A5C88" w:rsidP="009A5C88">
      <w:pPr>
        <w:spacing w:after="0" w:line="360" w:lineRule="auto"/>
        <w:ind w:firstLine="547"/>
        <w:jc w:val="both"/>
        <w:rPr>
          <w:rFonts w:ascii="Arial" w:eastAsia="MS Mincho" w:hAnsi="Arial" w:cs="Arial"/>
          <w:noProof/>
          <w:sz w:val="24"/>
          <w:szCs w:val="24"/>
          <w:lang w:val="id-ID"/>
        </w:rPr>
      </w:pPr>
      <w:r w:rsidRPr="009A5C88">
        <w:rPr>
          <w:rFonts w:ascii="Arial" w:hAnsi="Arial" w:cs="Arial"/>
          <w:noProof/>
          <w:sz w:val="24"/>
          <w:szCs w:val="24"/>
          <w:lang w:val="id-ID"/>
        </w:rPr>
        <w:t xml:space="preserve">Perkebunan sawit telah menjadi fenomena ekonomi utama di negara-negara tropis, khususnya Indonesia dan Malaysia. Komoditas ini menyediakan bahan baku minyak nabati yang digunakan secara luas untuk konsumsi, bahan bakar, dan industri olahan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{"citationItems":[{"id":"ITEM-1","itemData":{"DOI":"10.23971/al-aflah.v2i2.6838","abstract":"Selain minyak dan gas bumi, salah satu primadona sumber kas devisa adalah kelapa sawit. Komoditas kelapa sawit memiliki masa depan yang menjanjikan di pasar minyak nabati dunia, sehingga mendorong pemerintah untuk mendorong pertumbuhan areal perkebunan kelapa sawit. Tujuan studi ini adalah untuk menganalisis valuasi perkebunan kelapa sawit dan pemanfaatan limbah sebagai peluang bisnis di Indonesia. Metode penelitian mengunakan penelitian kepustakaan. Hasil penelitian ini menunjukan bahwa dinamika pasar minyak nabati global lebih dari sembilan jenis minyak diproduksi dan dikonsumsi di pasar minyak nabati global. Ini adalah industri yang sangat kompetitif yang mencakup negara maju dan berkembang. Minyak kedelai, minyak kelapa sawit, minyak canola, minyak bunga matahari, minyak kelapa, minyak jagung dan minyak kacang adalah beberapa minyak nabati populer yang diperdagangkan secara internasional. Kelapa sawit dianggap sebagai sumber daya alam yang paling kompetitif dan berkinerja dalam hal ini, karena pangsa pasarnya terus tumbuh dari sekitar 10% di tahun 1970-an menjadi sekitar 28% di tahun 2000-an. Peralihan dari sektor yang menggunakan bahan baku berbasis minyak bumi ke produk yang ramah lingkungan, seperti B. Petrokimia dengan bahan baku CPO, juga memperluas pasar minyak sawit. Pemanfaatan limbah hasil dari industri perkebunan kelapa sawit di antaranya dapat dimanfaatkan sebagai pembangkit listrik, briket arang, bubur kertas, pakan ternak dan pupuk.Selain minyak dan gas bumi, salah satu primadona sumber kas devisa adalah kelapa sawit. Komoditas kelapa sawit memiliki masa depan yang menjanjikan di pasar minyak nabati dunia, sehingga mendorong pemerintah untuk mendorong pertumbuhan areal perkebunan kelapa sawit. Tujuan studi ini adalah untuk menganalisis valuasi perkebunan kelapa sawit dan pemanfaatan limbah sebagai peluang bisnis di Indonesia. Metode penelitian mengunakan penelitian kepustakaan. Hasil penelitian ini menunjukan bahwa dinamika pasar minyak nabati global lebih dari sembilan jenis minyak diproduksi dan dikonsumsi di pasar minyak nabati global. Ini adalah industri yang sangat kompetitif yang mencakup negara maju dan berkembang. Minyak kedelai, minyak kelapa sawit, minyak canola, minyak bunga matahari, minyak kelapa, minyak jagung dan minyak kacang adalah beberapa minyak nabati populer yang diperdagangkan secara internasional. Kelapa sawit dianggap sebagai sumber daya alam yang paling kompetitif dan berkinerja dalam hal ini, karena pangsa pasa…","author":[{"dropping-particle":"","family":"Fahrizi","given":"Rangga Faiz","non-dropping-particle":"","parse-names":false,"suffix":""},{"dropping-particle":"","family":"Saputra","given":"Heldi Eka","non-dropping-particle":"","parse-names":false,"suffix":""}],"container-title":"Al-Aflah","id":"ITEM-1","issue":"2","issued":{"date-parts":[["2023"]]},"page":"73-86","title":"Valuasi Perkebunanan Kelapa Sawit Dan Pemanfaatan Limbah Sebagai Peluang Bisnis Di Indonesia","type":"article-journal","volume":"2"},"uris":["http://www.mendeley.com/documents/?uuid=c4aa84b3-0c9a-472c-85c0-f909b789c00d"]}],"mendeley":{"formattedCitation":"(Fahrizi &amp; Saputra, 2023)","plainTextFormattedCitation":"(Fahrizi &amp; Saputra, 2023)","previouslyFormattedCitation":"(Fahrizi and Saputra 2023)"},"properties":{"noteIndex":0},"schema":"https://github.com/citation-style-language/schema/raw/master/csl-citation.json"}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(Fahrizi &amp; Saputra, 2023)</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Dalam dekade terakhir, produksi dan luas lahan sawit meningkat pesat sehingga menimbulkan perhatian publik dan komunitas ilmiah terkait dampak lingkungan, sosial, dan etika. Indonesia kini tercatat sebagai produsen minyak sawit terbesar di dunia dengan produksi jutaan ton per tahun dan area perkebunan yang terus bertambah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{"citationItems":[{"id":"ITEM-1","itemData":{"ISBN":"2013206534","author":[{"dropping-particle":"","family":"Setiawibawa","given":"R.","non-dropping-particle":"","parse-names":false,"suffix":""},{"dropping-particle":"","family":"Hidayat","given":"M. I.","non-dropping-particle":"","parse-names":false,"suffix":""},{"dropping-particle":"","family":"Widiyati","given":"S. C.","non-dropping-particle":"","parse-names":false,"suffix":""}],"id":"ITEM-1","issue":"5","issued":{"date-parts":[["2024"]]},"number-of-pages":"1-23","publisher-place":"Malang","title":"Biofuel: Potensi Dan Isu Sosial Serta Kebijakannya","type":"book"},"uris":["http://www.mendeley.com/documents/?uuid=934b11e8-a6c0-46c2-bbed-02a2b2da6980"]}],"mendeley":{"formattedCitation":"(Setiawibawa, Hidayat, &amp; Widiyati, 2024)","plainTextFormattedCitation":"(Setiawibawa, Hidayat, &amp; Widiyati, 2024)","previouslyFormattedCitation":"(Setiawibawa, Hidayat, and Widiyati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(Setiawibawa, Hidayat, &amp; Widiyati,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Data ini </w:t>
      </w:r>
      <w:r w:rsidRPr="009A5C88">
        <w:rPr>
          <w:rFonts w:ascii="Arial" w:hAnsi="Arial" w:cs="Arial"/>
          <w:noProof/>
          <w:sz w:val="24"/>
          <w:szCs w:val="24"/>
          <w:lang w:val="id-ID"/>
        </w:rPr>
        <w:t xml:space="preserve">menunjukkan tren nasional yang menimbulkan tekanan langsung terhadap ekosistem hutan primer dan lahan gambut. </w:t>
      </w:r>
    </w:p>
    <w:p w14:paraId="2C966A50" w14:textId="598D5621" w:rsidR="009A5C88" w:rsidRPr="009A5C88" w:rsidRDefault="009A5C88" w:rsidP="009A5C88">
      <w:pPr>
        <w:spacing w:after="0" w:line="360" w:lineRule="auto"/>
        <w:ind w:firstLine="547"/>
        <w:jc w:val="both"/>
        <w:rPr>
          <w:rFonts w:ascii="Arial" w:eastAsia="MS Mincho" w:hAnsi="Arial" w:cs="Arial"/>
          <w:noProof/>
          <w:sz w:val="24"/>
          <w:szCs w:val="24"/>
          <w:lang w:val="id-ID"/>
        </w:rPr>
      </w:pPr>
      <w:r w:rsidRPr="009A5C88">
        <w:rPr>
          <w:rFonts w:ascii="Arial" w:hAnsi="Arial" w:cs="Arial"/>
          <w:noProof/>
          <w:sz w:val="24"/>
          <w:szCs w:val="24"/>
          <w:lang w:val="id-ID"/>
        </w:rPr>
        <w:t xml:space="preserve">Pertanyaan sentral yang diangkat dalam kajian ini adalah bagaimana memahami ekspansi perkebunan sawit melalui dua lensa analisis: pertama, perspektif filsafat lingkungan yang menekankan nilai intrinsik alam, keadilan ekologis, dan tanggung jawab lintas generasi; kedua, perspektif sains yang menilai dampak empiris seperti kehilangan keanekaragaman hayati, perubahan aliran karbon, dan emisi gas rumah kaca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{"citationItems":[{"id":"ITEM-1","itemData":{"DOI":"10.21460/aradha.2023.32.1268","ISSN":"2774-8588","author":[{"dropping-particle":"","family":"Pemberian","given":"","non-dropping-particle":"","parse-names":false,"suffix":""}],"container-title":"Aradha: Journal of Divinity, Peace and Conflict Studies","id":"ITEM-1","issue":"2","issued":{"date-parts":[["2023"]]},"title":"Analisis Konflik Sawit Melalui Lensa Etika Kepedulian-Relasional dan Upaya Pembangunan Perdamaian","type":"article-journal","volume":"3"},"uris":["http://www.mendeley.com/documents/?uuid=27880601-8452-422f-bce2-7a872f27b99b"]}],"mendeley":{"formattedCitation":"(Pemberian, 2023)","plainTextFormattedCitation":"(Pemberian, 2023)","previouslyFormattedCitation":"(Pemberian 2023)"},"properties":{"noteIndex":0},"schema":"https://github.com/citation-style-language/schema/raw/master/csl-citation.json"}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(Pemberian, 2023)</w:t>
      </w:r>
      <w:r w:rsidRPr="009A5C88">
        <w:rPr>
          <w:rFonts w:ascii="Arial" w:hAnsi="Arial" w:cs="Arial"/>
          <w:noProof/>
          <w:sz w:val="24"/>
          <w:szCs w:val="24"/>
          <w:lang w:val="id-ID"/>
        </w:rPr>
        <w:fldChar w:fldCharType="end"/>
      </w:r>
      <w:r w:rsidRPr="009A5C88">
        <w:rPr>
          <w:rFonts w:ascii="Arial" w:hAnsi="Arial" w:cs="Arial"/>
          <w:noProof/>
          <w:sz w:val="24"/>
          <w:szCs w:val="24"/>
          <w:lang w:val="id-ID"/>
        </w:rPr>
        <w:t>.</w:t>
      </w:r>
    </w:p>
    <w:p w14:paraId="2179505D" w14:textId="3A166CE8" w:rsidR="009A5C88" w:rsidRPr="009A5C88" w:rsidRDefault="009A5C88" w:rsidP="009A5C88">
      <w:pPr>
        <w:spacing w:after="0" w:line="360" w:lineRule="auto"/>
        <w:ind w:firstLine="547"/>
        <w:jc w:val="both"/>
        <w:rPr>
          <w:rFonts w:ascii="Arial" w:eastAsia="MS Mincho" w:hAnsi="Arial" w:cs="Arial"/>
          <w:noProof/>
          <w:sz w:val="24"/>
          <w:szCs w:val="24"/>
          <w:lang w:val="id-ID"/>
        </w:rPr>
      </w:pPr>
      <w:r w:rsidRPr="009A5C88">
        <w:rPr>
          <w:rFonts w:ascii="Arial" w:hAnsi="Arial" w:cs="Arial"/>
          <w:noProof/>
          <w:sz w:val="24"/>
          <w:szCs w:val="24"/>
          <w:lang w:val="id-ID"/>
        </w:rPr>
        <w:t xml:space="preserve">Tulisan ini bertujuan menyajikan gambaran kuantitatif terkini mengenai luas, produksi, dan jejak karbon sektor sawit. Tulisan ini juga menganalisis </w:t>
      </w:r>
      <w:r w:rsidRPr="009A5C88">
        <w:rPr>
          <w:rFonts w:ascii="Arial" w:hAnsi="Arial" w:cs="Arial"/>
          <w:noProof/>
          <w:sz w:val="24"/>
          <w:szCs w:val="24"/>
          <w:lang w:val="id-ID"/>
        </w:rPr>
        <w:lastRenderedPageBreak/>
        <w:t xml:space="preserve">implikasi etis dari ekspansi tersebut melalui kerangka filsafat lingkungan serta merumuskan rekomendasi kebijakan berbasis bukti guna meminimalkan </w:t>
      </w:r>
      <w:r w:rsidRPr="009A5C88">
        <w:rPr>
          <w:rFonts w:ascii="Arial" w:hAnsi="Arial" w:cs="Arial"/>
          <w:i/>
          <w:iCs/>
          <w:noProof/>
          <w:sz w:val="24"/>
          <w:szCs w:val="24"/>
          <w:lang w:val="id-ID"/>
        </w:rPr>
        <w:t>trade-off</w:t>
      </w:r>
      <w:r w:rsidRPr="009A5C88">
        <w:rPr>
          <w:rFonts w:ascii="Arial" w:hAnsi="Arial" w:cs="Arial"/>
          <w:noProof/>
          <w:sz w:val="24"/>
          <w:szCs w:val="24"/>
          <w:lang w:val="id-ID"/>
        </w:rPr>
        <w:t xml:space="preserve"> antara manfaat ekonomi dan kerusakan ekosistem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{"citationItems":[{"id":"ITEM-1","itemData":{"author":[{"dropping-particle":"","family":"Pambudi","given":"Andi Setyo","non-dropping-particle":"","parse-names":false,"suffix":""}],"container-title":"Journal Transformation of Mandalika","id":"ITEM-1","issue":"3","issued":{"date-parts":[["2025"]]},"page":"113-124","title":"Aksiologi Pengembangan Sawit : Etika dan Nilai dalam Pembangunan Berkelanjutan Mengenai Dampak Lingkungan ( AMDAL ) guna memastikan praktik produksi yang Dalam rangka meningkatkan standar keberlanjutan industri ini , Pemerintah Indonesia dalam Peraturan P","type":"article-journal","volume":"6"},"uris":["http://www.mendeley.com/documents/?uuid=7be206ab-0625-453f-a37d-38c0cc75da53"]}],"mendeley":{"formattedCitation":"(Pambudi, 2025)","plainTextFormattedCitation":"(Pambudi, 2025)","previouslyFormattedCitation":"(Pambudi 2025)"},"properties":{"noteIndex":0},"schema":"https://github.com/citation-style-language/schema/raw/master/csl-citation.json"}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(Pambudi, 2025)</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Analisis didukung oleh data kuantitatif penting, meliputi estimasi luas area perkebunan nasional, produksi tahunan </w:t>
      </w:r>
      <w:r w:rsidRPr="009A5C88">
        <w:rPr>
          <w:rFonts w:ascii="Arial" w:hAnsi="Arial" w:cs="Arial"/>
          <w:i/>
          <w:iCs/>
          <w:noProof/>
          <w:sz w:val="24"/>
          <w:szCs w:val="24"/>
          <w:lang w:val="id-ID"/>
        </w:rPr>
        <w:t>crude palm oil</w:t>
      </w:r>
      <w:r w:rsidRPr="009A5C88">
        <w:rPr>
          <w:rFonts w:ascii="Arial" w:hAnsi="Arial" w:cs="Arial"/>
          <w:noProof/>
          <w:sz w:val="24"/>
          <w:szCs w:val="24"/>
          <w:lang w:val="id-ID"/>
        </w:rPr>
        <w:t xml:space="preserve"> (CPO), tren deforestasi yang terkait perkebunan sawit, dan estimasi emisi karbondioksida (CO</w:t>
      </w:r>
      <w:r w:rsidRPr="009A5C88">
        <w:rPr>
          <w:rFonts w:ascii="Cambria Math" w:hAnsi="Cambria Math" w:cs="Cambria Math"/>
          <w:noProof/>
          <w:sz w:val="24"/>
          <w:szCs w:val="24"/>
          <w:lang w:val="id-ID"/>
        </w:rPr>
        <w:t>₂</w:t>
      </w:r>
      <w:r w:rsidRPr="009A5C88">
        <w:rPr>
          <w:rFonts w:ascii="Arial" w:hAnsi="Arial" w:cs="Arial"/>
          <w:noProof/>
          <w:sz w:val="24"/>
          <w:szCs w:val="24"/>
          <w:lang w:val="id-ID"/>
        </w:rPr>
        <w:t xml:space="preserve">) dari konversi lahan gambut, yang bersumber dari Badan Pusat Statistik (BPS) Republik Indonesia, </w:t>
      </w:r>
      <w:r w:rsidRPr="009A5C88">
        <w:rPr>
          <w:rFonts w:ascii="Arial" w:hAnsi="Arial" w:cs="Arial"/>
          <w:i/>
          <w:iCs/>
          <w:noProof/>
          <w:sz w:val="24"/>
          <w:szCs w:val="24"/>
          <w:lang w:val="id-ID"/>
        </w:rPr>
        <w:t>United States Department of Agriculture/Foreign Agricultural Service</w:t>
      </w:r>
      <w:r w:rsidRPr="009A5C88">
        <w:rPr>
          <w:rFonts w:ascii="Arial" w:hAnsi="Arial" w:cs="Arial"/>
          <w:noProof/>
          <w:sz w:val="24"/>
          <w:szCs w:val="24"/>
          <w:lang w:val="id-ID"/>
        </w:rPr>
        <w:t xml:space="preserve"> (USDA/FAS), Gabungan Pengusaha Kelapa Sawit Indonesia (GAPKI), </w:t>
      </w:r>
      <w:r w:rsidRPr="009A5C88">
        <w:rPr>
          <w:rFonts w:ascii="Arial" w:hAnsi="Arial" w:cs="Arial"/>
          <w:i/>
          <w:iCs/>
          <w:noProof/>
          <w:sz w:val="24"/>
          <w:szCs w:val="24"/>
          <w:lang w:val="id-ID"/>
        </w:rPr>
        <w:t>Transparency for Sustainable Economies</w:t>
      </w:r>
      <w:r w:rsidRPr="009A5C88">
        <w:rPr>
          <w:rFonts w:ascii="Arial" w:hAnsi="Arial" w:cs="Arial"/>
          <w:noProof/>
          <w:sz w:val="24"/>
          <w:szCs w:val="24"/>
          <w:lang w:val="id-ID"/>
        </w:rPr>
        <w:t xml:space="preserve"> (Trase), serta berbagai studi ilmiah terkait emisi lahan gambut dan upaya pembahasan kembali lahan gambut/</w:t>
      </w:r>
      <w:r w:rsidRPr="009A5C88">
        <w:rPr>
          <w:rFonts w:ascii="Arial" w:hAnsi="Arial" w:cs="Arial"/>
          <w:i/>
          <w:iCs/>
          <w:noProof/>
          <w:sz w:val="24"/>
          <w:szCs w:val="24"/>
          <w:lang w:val="id-ID"/>
        </w:rPr>
        <w:t>rewetting.</w:t>
      </w:r>
    </w:p>
    <w:p w14:paraId="1BDDAC3D" w14:textId="77777777" w:rsidR="005C600E" w:rsidRPr="00873DFB" w:rsidRDefault="005C600E" w:rsidP="00B57584">
      <w:pPr>
        <w:spacing w:after="0" w:line="360" w:lineRule="auto"/>
        <w:jc w:val="both"/>
        <w:rPr>
          <w:rFonts w:ascii="Arial" w:hAnsi="Arial" w:cs="Arial"/>
          <w:noProof/>
          <w:sz w:val="24"/>
          <w:szCs w:val="24"/>
          <w:lang w:val="en-ID"/>
        </w:rPr>
      </w:pPr>
    </w:p>
    <w:p w14:paraId="22255B95" w14:textId="47C03DBF" w:rsidR="00F54741" w:rsidRPr="00873DFB" w:rsidRDefault="00B57584" w:rsidP="00575CA2">
      <w:pPr>
        <w:tabs>
          <w:tab w:val="left" w:pos="284"/>
        </w:tabs>
        <w:spacing w:after="0" w:line="360" w:lineRule="auto"/>
        <w:ind w:left="284" w:hanging="284"/>
        <w:jc w:val="both"/>
        <w:rPr>
          <w:rFonts w:ascii="Arial" w:hAnsi="Arial" w:cs="Arial"/>
          <w:b/>
          <w:noProof/>
          <w:sz w:val="24"/>
          <w:szCs w:val="24"/>
          <w:lang w:val="en-ID"/>
        </w:rPr>
      </w:pPr>
      <w:r w:rsidRPr="00873DFB">
        <w:rPr>
          <w:rFonts w:ascii="Arial" w:hAnsi="Arial" w:cs="Arial"/>
          <w:b/>
          <w:noProof/>
          <w:sz w:val="24"/>
          <w:szCs w:val="24"/>
          <w:lang w:val="en-ID"/>
        </w:rPr>
        <w:t>B</w:t>
      </w:r>
      <w:r w:rsidR="005C600E" w:rsidRPr="00873DFB">
        <w:rPr>
          <w:rFonts w:ascii="Arial" w:hAnsi="Arial" w:cs="Arial"/>
          <w:b/>
          <w:noProof/>
          <w:sz w:val="24"/>
          <w:szCs w:val="24"/>
          <w:lang w:val="en-ID"/>
        </w:rPr>
        <w:t>. Metode P</w:t>
      </w:r>
      <w:r w:rsidR="00F54741" w:rsidRPr="00873DFB">
        <w:rPr>
          <w:rFonts w:ascii="Arial" w:hAnsi="Arial" w:cs="Arial"/>
          <w:b/>
          <w:noProof/>
          <w:sz w:val="24"/>
          <w:szCs w:val="24"/>
          <w:lang w:val="en-ID"/>
        </w:rPr>
        <w:t>enelitian</w:t>
      </w:r>
      <w:r w:rsidRPr="00873DFB">
        <w:rPr>
          <w:rFonts w:ascii="Arial" w:hAnsi="Arial" w:cs="Arial"/>
          <w:b/>
          <w:noProof/>
          <w:sz w:val="24"/>
          <w:szCs w:val="24"/>
          <w:lang w:val="en-ID"/>
        </w:rPr>
        <w:t xml:space="preserve"> </w:t>
      </w:r>
    </w:p>
    <w:p w14:paraId="426A733E" w14:textId="5A4DD47D" w:rsidR="009A5C88" w:rsidRPr="009A5C88" w:rsidRDefault="009A5C88" w:rsidP="009A5C88">
      <w:pPr>
        <w:spacing w:after="0" w:line="360" w:lineRule="auto"/>
        <w:ind w:firstLine="567"/>
        <w:jc w:val="both"/>
        <w:rPr>
          <w:rFonts w:ascii="Arial" w:eastAsia="MS Mincho" w:hAnsi="Arial" w:cs="Arial"/>
          <w:noProof/>
          <w:sz w:val="24"/>
          <w:szCs w:val="24"/>
          <w:lang w:val="id-ID"/>
        </w:rPr>
      </w:pPr>
      <w:r w:rsidRPr="009A5C88">
        <w:rPr>
          <w:rFonts w:ascii="Arial" w:hAnsi="Arial" w:cs="Arial"/>
          <w:noProof/>
          <w:sz w:val="24"/>
          <w:szCs w:val="24"/>
          <w:lang w:val="id-ID"/>
        </w:rPr>
        <w:t xml:space="preserve">Pendekatan penelitian ini bersifat studi literatur interdisipliner dan analisis sekunder. Data kuantitatif dikumpulkan dari lembaga resmi yaitu BPS RI, USDA/FAS, GAPKI, dan Trase, serta publikasi ilmiah mutakhir </w:t>
      </w:r>
      <w:r w:rsidRPr="009A5C88">
        <w:rPr>
          <w:rFonts w:ascii="Arial" w:hAnsi="Arial" w:cs="Arial"/>
          <w:noProof/>
          <w:sz w:val="24"/>
          <w:szCs w:val="24"/>
          <w:lang w:val="id-ID"/>
        </w:rPr>
        <w:t>terkait emisi lahan gambut dan praktik restorasinya. Selain itu, kajian teoretis dilakukan dengan merujuk pada literatur filsafat lingkungan (</w:t>
      </w:r>
      <w:r w:rsidRPr="009A5C88">
        <w:rPr>
          <w:rFonts w:ascii="Arial" w:hAnsi="Arial" w:cs="Arial"/>
          <w:i/>
          <w:iCs/>
          <w:noProof/>
          <w:sz w:val="24"/>
          <w:szCs w:val="24"/>
          <w:lang w:val="id-ID"/>
        </w:rPr>
        <w:t>deep ecology, ecofeminism, ecosistem services</w:t>
      </w:r>
      <w:r w:rsidRPr="009A5C88">
        <w:rPr>
          <w:rFonts w:ascii="Arial" w:hAnsi="Arial" w:cs="Arial"/>
          <w:noProof/>
          <w:sz w:val="24"/>
          <w:szCs w:val="24"/>
          <w:lang w:val="id-ID"/>
        </w:rPr>
        <w:t xml:space="preserve">, etika lingkungan)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{"citationItems":[{"id":"ITEM-1","itemData":{"DOI":"10.23887/jfi.v8i2.88217","ISSN":"2620-7990","abstract":"Global environmental crises, such as global warming, ecosystem degradation, and biodiversity loss, demonstrate the limitations of the anthropocentric approach that focuses on human interests in managing nature. As an alternative, biocentrism and ecocentrism offer a more inclusive view by emphasizing the intrinsic value of living things and the importance of maintaining the integrity of the ecosystem as a whole. This article uses a literature review method to explore the basic principles, differences, and relevance of these two approaches in dealing with the environmental crisis in the era of anthropocentrism. Through the identification, analysis, and synthesis of various current literatures, this article is expected to provide insight into how biocentrism and ecocentrism can contribute to more sustainable environmental policy updates. The results show that the implementation of biocentrism and ecocentrism views has been carried out in various countries. Indonesia, Bhutan, Costa Rica, and Nepal are some examples of countries that apply the biocentric view in formulating some of their policies. Ecuador, Australia, South Africa, and India are examples of countries that apply the ecocentric view in formulating some of their policies. This implementation replaces the anthropocentric view that has dominated environmental policy for centuries. This policy certainly supports the preservation, protection, and balance of the ecosystem.","author":[{"dropping-particle":"","family":"Priyono","given":"Bagus Budi","non-dropping-particle":"","parse-names":false,"suffix":""},{"dropping-particle":"","family":"Purwantara","given":"Suhadi","non-dropping-particle":"","parse-names":false,"suffix":""},{"dropping-particle":"","family":"Widyastuti","given":"Widyastuti","non-dropping-particle":"","parse-names":false,"suffix":""}],"container-title":"Jurnal Filsafat Indonesia","id":"ITEM-1","issue":"2","issued":{"date-parts":[["2025"]]},"page":"280-290","title":"Biosentrisme dan Ekosentrisme: Alternatif Pandangan Filsafat Lingkungan terhadap Krisis Alam di Era Antroposentrisme","type":"article-journal","volume":"8"},"uris":["http://www.mendeley.com/documents/?uuid=2c8acd8d-ea7f-4314-92ae-bf4c36ab81f3"]}],"mendeley":{"formattedCitation":"(Priyono, Purwantara, &amp; Widyastuti, 2025)","plainTextFormattedCitation":"(Priyono, Purwantara, &amp; Widyastuti, 2025)","previouslyFormattedCitation":"(Priyono, Purwantara, and Widyastuti 2025)"},"properties":{"noteIndex":0},"schema":"https://github.com/citation-style-language/schema/raw/master/csl-citation.json"}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(Priyono, Purwantara, &amp; Widyastuti, 2025)</w:t>
      </w:r>
      <w:r w:rsidRPr="009A5C88">
        <w:rPr>
          <w:rFonts w:ascii="Arial" w:hAnsi="Arial" w:cs="Arial"/>
          <w:noProof/>
          <w:sz w:val="24"/>
          <w:szCs w:val="24"/>
          <w:lang w:val="id-ID"/>
        </w:rPr>
        <w:fldChar w:fldCharType="end"/>
      </w:r>
      <w:r w:rsidRPr="009A5C88">
        <w:rPr>
          <w:rFonts w:ascii="Arial" w:hAnsi="Arial" w:cs="Arial"/>
          <w:noProof/>
          <w:sz w:val="24"/>
          <w:szCs w:val="24"/>
          <w:lang w:val="id-ID"/>
        </w:rPr>
        <w:t>.</w:t>
      </w:r>
    </w:p>
    <w:p w14:paraId="08D3DBEE" w14:textId="00C45514" w:rsidR="009A5C88" w:rsidRPr="009A5C88" w:rsidRDefault="009A5C88" w:rsidP="009A5C88">
      <w:pPr>
        <w:spacing w:after="0" w:line="360" w:lineRule="auto"/>
        <w:ind w:firstLine="567"/>
        <w:jc w:val="both"/>
        <w:rPr>
          <w:rFonts w:ascii="Arial" w:hAnsi="Arial" w:cs="Arial"/>
          <w:noProof/>
          <w:sz w:val="24"/>
          <w:szCs w:val="24"/>
          <w:lang w:val="id-ID"/>
        </w:rPr>
      </w:pPr>
      <w:r w:rsidRPr="009A5C88">
        <w:rPr>
          <w:rFonts w:ascii="Arial" w:hAnsi="Arial" w:cs="Arial"/>
          <w:noProof/>
          <w:sz w:val="24"/>
          <w:szCs w:val="24"/>
          <w:lang w:val="id-ID"/>
        </w:rPr>
        <w:t xml:space="preserve">Analisis dilakukan melalui sintesis kritis: (a) memeriksa konsistensi data statistik produksi dan area; (b) menghubungkan temuan empiris dengan klaim etis dan filosofis; dan (c) merumuskan rekomendasi yang mempertimbangkan keadilan distributif dan prosedural bagi komunitas lokal dan petani kecil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{"citationItems":[{"id":"ITEM-1","itemData":{"abstract":"Penelitian ini bertujuan untuk menganalisis metode, struktur, dan tujuan dalam pembahasan filsafat, dengan fokus pada bagaimana ketiga elemen tersebut saling berinteraksi untuk membentuk pemahaman yang komprehensif tentang konsep-konsep filosofis. Metode penelitian yang digunakan adalah kajian pustaka dengan pendekatan kualitatif, yang melibatkan analisis kritis terhadap berbagai teks filsafat klasik dan kontemporer. Struktur pembahasan filsafat dianalisis melalui pengidentifikasian kerangka logis yang digunakan dalam argumen-argumen filosofis, termasuk deduksi, induksi, dan dialektika. Tujuan pembahasan filsafat dikaji dengan menelusuri berbagai tujuan filsuf, seperti pencarian kebenaran, pemahaman eksistensial, dan kontribusi terhadap pengembangan ilmu pengetahuan serta etika. Hasil penelitian menunjukkan bahwa metode, struktur, dan tujuan dalam filsafat berperan penting dalam membangun argumen yang koheren dan relevan dengan konteks zaman. Temuan ini memberikan wawasan yang lebih mendalam tentang bagaimana pendekatan filosofis dapat digunakan untuk menjawab pertanyaan-pertanyaan fundamental tentang kehidupan, pengetahuan, dan moralitas.","author":[{"dropping-particle":"","family":"Rais","given":"Muhammad Zaki","non-dropping-particle":"","parse-names":false,"suffix":""},{"dropping-particle":"","family":"Rizal","given":"Taufik","non-dropping-particle":"","parse-names":false,"suffix":""},{"dropping-particle":"","family":"Pratama","given":"Fikri Kholis","non-dropping-particle":"","parse-names":false,"suffix":""},{"dropping-particle":"","family":"Syahputra","given":"Heru","non-dropping-particle":"","parse-names":false,"suffix":""}],"container-title":"INNOVATIVE: Journal Of Social Science Research","id":"ITEM-1","issue":"1","issued":{"date-parts":[["2025"]]},"page":"5460-5470","title":"Analisis Metode dan Struktur serta Tujuan Pembahasan Filsafat","type":"article-journal","volume":"5"},"uris":["http://www.mendeley.com/documents/?uuid=95fe2319-49a2-4681-9b17-e160b9d0f87b"]}],"mendeley":{"formattedCitation":"(Rais, Rizal, Pratama, &amp; Syahputra, 2025)","plainTextFormattedCitation":"(Rais, Rizal, Pratama, &amp; Syahputra, 2025)","previouslyFormattedCitation":"(Rais et al. 2025)"},"properties":{"noteIndex":0},"schema":"https://github.com/citation-style-language/schema/raw/master/csl-citation.json"}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(Rais, Rizal, Pratama, &amp; Syahputra, 2025)</w:t>
      </w:r>
      <w:r w:rsidRPr="009A5C88">
        <w:rPr>
          <w:rFonts w:ascii="Arial" w:hAnsi="Arial" w:cs="Arial"/>
          <w:noProof/>
          <w:sz w:val="24"/>
          <w:szCs w:val="24"/>
          <w:lang w:val="id-ID"/>
        </w:rPr>
        <w:fldChar w:fldCharType="end"/>
      </w:r>
      <w:r w:rsidRPr="009A5C88">
        <w:rPr>
          <w:rFonts w:ascii="Arial" w:hAnsi="Arial" w:cs="Arial"/>
          <w:noProof/>
          <w:sz w:val="24"/>
          <w:szCs w:val="24"/>
          <w:lang w:val="id-ID"/>
        </w:rPr>
        <w:t>.</w:t>
      </w:r>
    </w:p>
    <w:p w14:paraId="72A76743" w14:textId="77777777" w:rsidR="00B57584" w:rsidRPr="00873DFB" w:rsidRDefault="00B57584" w:rsidP="009A5C88">
      <w:pPr>
        <w:spacing w:after="0" w:line="360" w:lineRule="auto"/>
        <w:jc w:val="both"/>
        <w:rPr>
          <w:rFonts w:ascii="Arial" w:hAnsi="Arial" w:cs="Arial"/>
          <w:noProof/>
          <w:sz w:val="24"/>
          <w:szCs w:val="24"/>
          <w:lang w:val="en-ID"/>
        </w:rPr>
      </w:pPr>
    </w:p>
    <w:p w14:paraId="1B316B48" w14:textId="350DAED1" w:rsidR="00F54741" w:rsidRPr="00873DFB" w:rsidRDefault="00B57584" w:rsidP="00287E18">
      <w:pPr>
        <w:tabs>
          <w:tab w:val="left" w:pos="284"/>
        </w:tabs>
        <w:spacing w:after="0" w:line="360" w:lineRule="auto"/>
        <w:ind w:left="284" w:hanging="284"/>
        <w:jc w:val="both"/>
        <w:rPr>
          <w:rFonts w:ascii="Arial" w:hAnsi="Arial" w:cs="Arial"/>
          <w:b/>
          <w:noProof/>
          <w:sz w:val="24"/>
          <w:szCs w:val="24"/>
          <w:lang w:val="en-ID"/>
        </w:rPr>
      </w:pPr>
      <w:r w:rsidRPr="00873DFB">
        <w:rPr>
          <w:rFonts w:ascii="Arial" w:hAnsi="Arial" w:cs="Arial"/>
          <w:b/>
          <w:noProof/>
          <w:sz w:val="24"/>
          <w:szCs w:val="24"/>
          <w:lang w:val="en-ID"/>
        </w:rPr>
        <w:t>C.</w:t>
      </w:r>
      <w:r w:rsidR="00F54741" w:rsidRPr="00873DFB">
        <w:rPr>
          <w:rFonts w:ascii="Arial" w:hAnsi="Arial" w:cs="Arial"/>
          <w:b/>
          <w:noProof/>
          <w:sz w:val="24"/>
          <w:szCs w:val="24"/>
          <w:lang w:val="en-ID"/>
        </w:rPr>
        <w:t xml:space="preserve">Hasil </w:t>
      </w:r>
      <w:r w:rsidRPr="00873DFB">
        <w:rPr>
          <w:rFonts w:ascii="Arial" w:hAnsi="Arial" w:cs="Arial"/>
          <w:b/>
          <w:noProof/>
          <w:sz w:val="24"/>
          <w:szCs w:val="24"/>
          <w:lang w:val="en-ID"/>
        </w:rPr>
        <w:t xml:space="preserve">Penelitian </w:t>
      </w:r>
      <w:r w:rsidR="00F54741" w:rsidRPr="00873DFB">
        <w:rPr>
          <w:rFonts w:ascii="Arial" w:hAnsi="Arial" w:cs="Arial"/>
          <w:b/>
          <w:noProof/>
          <w:sz w:val="24"/>
          <w:szCs w:val="24"/>
          <w:lang w:val="en-ID"/>
        </w:rPr>
        <w:t>dan Pembahasan</w:t>
      </w:r>
      <w:r w:rsidRPr="00873DFB">
        <w:rPr>
          <w:rFonts w:ascii="Arial" w:hAnsi="Arial" w:cs="Arial"/>
          <w:b/>
          <w:noProof/>
          <w:sz w:val="24"/>
          <w:szCs w:val="24"/>
          <w:lang w:val="en-ID"/>
        </w:rPr>
        <w:t xml:space="preserve"> </w:t>
      </w:r>
    </w:p>
    <w:p w14:paraId="73D97FED" w14:textId="77777777" w:rsidR="009A5C88" w:rsidRPr="009A5C88" w:rsidRDefault="009A5C88" w:rsidP="009A5C88">
      <w:pPr>
        <w:pStyle w:val="ListParagraph"/>
        <w:numPr>
          <w:ilvl w:val="0"/>
          <w:numId w:val="2"/>
        </w:numPr>
        <w:spacing w:after="0" w:line="360" w:lineRule="auto"/>
        <w:ind w:left="357" w:hanging="357"/>
        <w:rPr>
          <w:rFonts w:ascii="Arial" w:eastAsia="MS Mincho" w:hAnsi="Arial" w:cs="Arial"/>
          <w:b/>
          <w:noProof/>
          <w:sz w:val="24"/>
          <w:szCs w:val="24"/>
          <w:lang w:val="id-ID"/>
        </w:rPr>
      </w:pPr>
      <w:r w:rsidRPr="009A5C88">
        <w:rPr>
          <w:rFonts w:ascii="Arial" w:eastAsia="MS Mincho" w:hAnsi="Arial" w:cs="Arial"/>
          <w:b/>
          <w:noProof/>
          <w:sz w:val="24"/>
          <w:szCs w:val="24"/>
          <w:lang w:val="id-ID"/>
        </w:rPr>
        <w:t>Data Kuantitatif Terkini: Luas, Produksi, dan Emisi</w:t>
      </w:r>
    </w:p>
    <w:p w14:paraId="7A0DADF7" w14:textId="736FEE14" w:rsidR="009A5C88" w:rsidRPr="009A5C88" w:rsidRDefault="009A5C88" w:rsidP="009A5C88">
      <w:pPr>
        <w:spacing w:after="0" w:line="360" w:lineRule="auto"/>
        <w:ind w:firstLine="547"/>
        <w:jc w:val="both"/>
        <w:rPr>
          <w:rFonts w:ascii="Arial" w:eastAsia="MS Mincho" w:hAnsi="Arial" w:cs="Arial"/>
          <w:noProof/>
          <w:sz w:val="24"/>
          <w:szCs w:val="24"/>
          <w:lang w:val="id-ID"/>
        </w:rPr>
      </w:pPr>
      <w:r w:rsidRPr="009A5C88">
        <w:rPr>
          <w:rFonts w:ascii="Arial" w:hAnsi="Arial" w:cs="Arial"/>
          <w:noProof/>
          <w:sz w:val="24"/>
          <w:szCs w:val="24"/>
          <w:lang w:val="id-ID"/>
        </w:rPr>
        <w:t xml:space="preserve">Berdasarkan ringkasan produksi dan area yang disusun oleh Badan Pusat Statistik (BPS) Republik Indonesia, estimasi area tanam sawit Indonesia pada tahun 2024/2025 mencapai 14,4 juta dengan produksi CPO di kisaran 44,5 juta ton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{"citationItems":[{"id":"ITEM-1","itemData":{"author":[{"dropping-particle":"","family":"Badan Pusat Statistik Republik Indonesia","given":"","non-dropping-particle":"","parse-names":false,"suffix":""}],"id":"ITEM-1","issued":{"date-parts":[["2024"]]},"number-of-pages":"1-160","publisher-place":"Jakarta","title":"Indonesia oil palm statistics","type":"book","volume":"17"},"uris":["http://www.mendeley.com/documents/?uuid=f275cfc0-ba04-4311-b67a-ae90c2b97c14"]}],"mendeley":{"formattedCitation":"(Badan Pusat Statistik Republik Indonesia, 2024)","plainTextFormattedCitation":"(Badan Pusat Statistik Republik Indonesia, 2024)","previouslyFormattedCitation":"(Badan Pusat Statistik Republik Indonesia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(Badan Pusat Statistik Republik Indonesia,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Tren lima tahun menunjukkan kenaikan area dan fluktuasi produktivitas per hektar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{"citationItems":[{"id":"ITEM-1","itemData":{"author":[{"dropping-particle":"","family":"USDA Foreign Agricultural Service","given":"","non-dropping-particle":"","parse-names":false,"suffix":""}],"id":"ITEM-1","issued":{"date-parts":[["2024"]]},"title":"Indonesia palm oil area, yield and production: Outlook 2024/2025 [Data set].","type":"book"},"uris":["http://www.mendeley.com/documents/?uuid=a68e8277-8e8a-468d-ba9d-6d97307f190f"]}],"mendeley":{"formattedCitation":"(USDA Foreign Agricultural Service, 2024)","plainTextFormattedCitation":"(USDA Foreign Agricultural Service, 2024)","previouslyFormattedCitation":"(USDA Foreign Agricultural Service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(USDA Foreign Agricultural Service,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w:t>
      </w:r>
      <w:r w:rsidRPr="009A5C88">
        <w:rPr>
          <w:rFonts w:ascii="Arial" w:hAnsi="Arial" w:cs="Arial"/>
          <w:noProof/>
          <w:sz w:val="24"/>
          <w:szCs w:val="24"/>
          <w:lang w:val="id-ID"/>
        </w:rPr>
        <w:lastRenderedPageBreak/>
        <w:t>Data ini menegaskan posisi dominan Indonesia dalam pasar global minyak sawit.</w:t>
      </w:r>
    </w:p>
    <w:p w14:paraId="5897551E" w14:textId="180EEB1B" w:rsidR="00E45CA6" w:rsidRPr="009D6DF5" w:rsidRDefault="009A5C88" w:rsidP="009D6DF5">
      <w:pPr>
        <w:spacing w:after="0" w:line="360" w:lineRule="auto"/>
        <w:ind w:firstLine="547"/>
        <w:jc w:val="both"/>
        <w:rPr>
          <w:rFonts w:ascii="Arial" w:hAnsi="Arial" w:cs="Arial"/>
          <w:noProof/>
          <w:sz w:val="24"/>
          <w:szCs w:val="24"/>
          <w:lang w:val="id-ID"/>
        </w:rPr>
      </w:pPr>
      <w:r w:rsidRPr="009A5C88">
        <w:rPr>
          <w:rFonts w:ascii="Arial" w:hAnsi="Arial" w:cs="Arial"/>
          <w:noProof/>
          <w:sz w:val="24"/>
          <w:szCs w:val="24"/>
          <w:lang w:val="id-ID"/>
        </w:rPr>
        <w:t>Analisis Trase dan studi terkait mengaitkan produksi minyak sawit Indonesia dengan jejak deforestasi dan emisi. Pada tahun 2015 hingga 2022, industri sawit diperkirakan menyumbang rata-rata sekitar 220 juta ton CO</w:t>
      </w:r>
      <w:r w:rsidRPr="009A5C88">
        <w:rPr>
          <w:rFonts w:ascii="Arial" w:hAnsi="Arial" w:cs="Arial"/>
          <w:noProof/>
          <w:sz w:val="24"/>
          <w:szCs w:val="24"/>
          <w:vertAlign w:val="subscript"/>
          <w:lang w:val="id-ID"/>
        </w:rPr>
        <w:t>2</w:t>
      </w:r>
      <w:r w:rsidRPr="009A5C88">
        <w:rPr>
          <w:rFonts w:ascii="Arial" w:hAnsi="Arial" w:cs="Arial"/>
          <w:noProof/>
          <w:sz w:val="24"/>
          <w:szCs w:val="24"/>
          <w:lang w:val="id-ID"/>
        </w:rPr>
        <w:t xml:space="preserve"> per tahun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{"citationItems":[{"id":"ITEM-1","itemData":{"author":[{"dropping-particle":"","family":"Trase &amp; Stockholm Environment Institute","given":"","non-dropping-particle":"","parse-names":false,"suffix":""}],"id":"ITEM-1","issued":{"date-parts":[["2024"]]},"title":"Indonesian palm oil exports and deforestation: Insights and analysis 2024–2025","type":"entry-encyclopedia"},"uris":["http://www.mendeley.com/documents/?uuid=8cba0e14-7d8d-4d0f-ab53-cce24dd44069"]}],"mendeley":{"formattedCitation":"(Trase &amp; Stockholm Environment Institute, 2024)","plainTextFormattedCitation":"(Trase &amp; Stockholm Environment Institute, 2024)","previouslyFormattedCitation":"(Trase &amp; Stockholm Environment Institute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(Trase &amp; Stockholm Environment Institute,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Emisi CO</w:t>
      </w:r>
      <w:r w:rsidRPr="009A5C88">
        <w:rPr>
          <w:rFonts w:ascii="Arial" w:hAnsi="Arial" w:cs="Arial"/>
          <w:noProof/>
          <w:sz w:val="24"/>
          <w:szCs w:val="24"/>
          <w:vertAlign w:val="subscript"/>
          <w:lang w:val="id-ID"/>
        </w:rPr>
        <w:t>2</w:t>
      </w:r>
      <w:r w:rsidRPr="009A5C88">
        <w:rPr>
          <w:rFonts w:ascii="Arial" w:hAnsi="Arial" w:cs="Arial"/>
          <w:noProof/>
          <w:sz w:val="24"/>
          <w:szCs w:val="24"/>
          <w:lang w:val="id-ID"/>
        </w:rPr>
        <w:t xml:space="preserve"> sebagian besar terkait dengan konversi lahan gambut, kebakaran lahan, dan subsiden lahan gambut. Hal ini menempatkan sektor sawit sebagai salah satu kontributor signifikan terhadap jejak emisi nasional. Selain itu, laju deforestasi terkait dengan pembukaan lahan legal maupun ilegal kembali meningkat pada 2023 hingga 2024 di beberapa provinsi di Indonesia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{"citationItems":[{"id":"ITEM-1","itemData":{"DOI":"10.36841/growth-journal.v21i2.3971","ISSN":"0215-1030","author":[{"dropping-particle":"","family":"Tsiwiyati","given":"Dwi Najah","non-dropping-particle":"","parse-names":false,"suffix":""}],"container-title":"Jurnal Esensi Hukum","id":"ITEM-1","issue":"2","issued":{"date-parts":[["2024"]]},"title":"Transformasi Industri Kelapa Sawit: Hilirisasi Berkelanjutan Menghadapi Daya Saing Global dan Ekonomi Hijau","type":"article-journal","volume":"6"},"uris":["http://www.mendeley.com/documents/?uuid=861086e2-70a8-43ce-a314-7e20ef50eb7b"]}],"mendeley":{"formattedCitation":"(Tsiwiyati, 2024)","plainTextFormattedCitation":"(Tsiwiyati, 2024)","previouslyFormattedCitation":"(Tsiwiyati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(Tsiwiyati,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Data pelaporan independen menunjukkan lonjakan konversi lahan terutama pada konsesi yang diperluas atau direklasifikasi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{"citationItems":[{"id":"ITEM-1","itemData":{"author":[{"dropping-particle":"","family":"Trase &amp; Stockholm Environment Institute","given":"","non-dropping-particle":"","parse-names":false,"suffix":""}],"id":"ITEM-1","issued":{"date-parts":[["2024"]]},"title":"Indonesian palm oil exports and deforestation: Insights and analysis 2024–2025","type":"entry-encyclopedia"},"uris":["http://www.mendeley.com/documents/?uuid=8cba0e14-7d8d-4d0f-ab53-cce24dd44069"]}],"mendeley":{"formattedCitation":"(Trase &amp; Stockholm Environment Institute, 2024)","plainTextFormattedCitation":"(Trase &amp; Stockholm Environment Institute, 2024)","previouslyFormattedCitation":"(Trase &amp; Stockholm Environment Institute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(Trase &amp; Stockholm Environment Institute,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Upaya pemerintah seperti penyitaan dan alih kelola lahan hasil operasi ilegal menunjukkan respons kebijakan terkini terhadap masalah tata kelola lahan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{"citationItems":[{"id":"ITEM-1","itemData":{"ISSN":"2715-6966","abstract":"Website: https://idm.or.id/JSER/inde x.php/JSER Page: 759-767 The palm oil industry plays a crucial role in the global economy, particularly in Indonesia, the largest producer, which faces issues concerning land legality. Consequently, the government introduced a land amnesty regulation specifically for palm oil plantations. However, the government, in enforcing this regulation related to the Omnibus Law on Job Creation, is confronted with decision-making dilemmas due to overlaps with other regulations and insufficient attention to justice. This study employs ethical decision-making theory encompassing three aspects: legality, justice, and responses. Using this theory, this essay aims to analyze the decision-making dilemmas concerning the Palm Land Amnesty Regulation within the Omnibus Law on Job Creation and its impacts, while also comparing it with policies implemented in Malaysia.","author":[{"dropping-particle":"","family":"Mardela","given":"Hafilah Adys","non-dropping-particle":"","parse-names":false,"suffix":""},{"dropping-particle":"","family":"Apriza","given":"Khalisya Nadine","non-dropping-particle":"","parse-names":false,"suffix":""},{"dropping-particle":"","family":"Naufal","given":"Muhammad Rizki","non-dropping-particle":"","parse-names":false,"suffix":""},{"dropping-particle":"","family":"Almira","given":"Sazkia Ismi","non-dropping-particle":"","parse-names":false,"suffix":""}],"container-title":"Journal of Social and Economics Research","id":"ITEM-1","issue":"2","issued":{"date-parts":[["2023"]]},"page":"759-767","title":"Analysis of Decision Making Dilemma on the Regulation of Palm Land Whitening in the Employment Copyright Law","type":"article-journal","volume":"5"},"uris":["http://www.mendeley.com/documents/?uuid=c17a9c2e-3d56-4b38-ba27-8a22edb724c8"]}],"mendeley":{"formattedCitation":"(Mardela, Apriza, Naufal, &amp; Almira, 2023)","plainTextFormattedCitation":"(Mardela, Apriza, Naufal, &amp; Almira, 2023)","previouslyFormattedCitation":"(Mardela et al. 2023)"},"properties":{"noteIndex":0},"schema":"https://github.com/citation-style-language/schema/raw/master/csl-citation.json"}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(Mardela, Apriza, Naufal, &amp; Almira, 2023)</w:t>
      </w:r>
      <w:r w:rsidRPr="009A5C88">
        <w:rPr>
          <w:rFonts w:ascii="Arial" w:hAnsi="Arial" w:cs="Arial"/>
          <w:noProof/>
          <w:sz w:val="24"/>
          <w:szCs w:val="24"/>
          <w:lang w:val="id-ID"/>
        </w:rPr>
        <w:fldChar w:fldCharType="end"/>
      </w:r>
      <w:r w:rsidRPr="009A5C88">
        <w:rPr>
          <w:rFonts w:ascii="Arial" w:hAnsi="Arial" w:cs="Arial"/>
          <w:noProof/>
          <w:sz w:val="24"/>
          <w:szCs w:val="24"/>
          <w:lang w:val="id-ID"/>
        </w:rPr>
        <w:t>.</w:t>
      </w:r>
    </w:p>
    <w:p w14:paraId="68FE91AC" w14:textId="77777777" w:rsidR="009A5C88" w:rsidRPr="00E45CA6" w:rsidRDefault="009A5C88" w:rsidP="00E45CA6">
      <w:pPr>
        <w:tabs>
          <w:tab w:val="left" w:pos="7740"/>
        </w:tabs>
        <w:spacing w:after="0" w:line="240" w:lineRule="auto"/>
        <w:jc w:val="center"/>
        <w:rPr>
          <w:rFonts w:ascii="Arial" w:eastAsia="Times New Roman" w:hAnsi="Arial" w:cs="Arial"/>
          <w:b/>
          <w:bCs/>
          <w:iCs/>
          <w:noProof/>
          <w:sz w:val="20"/>
          <w:szCs w:val="20"/>
          <w:lang w:val="id-ID"/>
        </w:rPr>
      </w:pPr>
      <w:r w:rsidRPr="00E45CA6">
        <w:rPr>
          <w:rFonts w:ascii="Arial" w:eastAsia="Times New Roman" w:hAnsi="Arial" w:cs="Arial"/>
          <w:b/>
          <w:bCs/>
          <w:iCs/>
          <w:noProof/>
          <w:sz w:val="20"/>
          <w:szCs w:val="20"/>
          <w:lang w:val="id-ID"/>
        </w:rPr>
        <w:t>Tabel 1. Data kuantitatif terkini</w:t>
      </w:r>
    </w:p>
    <w:tbl>
      <w:tblPr>
        <w:tblStyle w:val="TableGrid"/>
        <w:tblW w:w="40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1973"/>
        <w:gridCol w:w="961"/>
      </w:tblGrid>
      <w:tr w:rsidR="00E45CA6" w:rsidRPr="00E45CA6" w14:paraId="4A3BE415" w14:textId="77777777" w:rsidTr="00941341">
        <w:tc>
          <w:tcPr>
            <w:tcW w:w="1295" w:type="dxa"/>
            <w:tcBorders>
              <w:top w:val="single" w:sz="4" w:space="0" w:color="auto"/>
              <w:bottom w:val="single" w:sz="4" w:space="0" w:color="auto"/>
            </w:tcBorders>
            <w:hideMark/>
          </w:tcPr>
          <w:p w14:paraId="09276A19" w14:textId="77777777" w:rsidR="009A5C88" w:rsidRPr="00E45CA6" w:rsidRDefault="009A5C88" w:rsidP="00E45CA6">
            <w:pPr>
              <w:jc w:val="center"/>
              <w:rPr>
                <w:rFonts w:ascii="Arial" w:hAnsi="Arial" w:cs="Arial"/>
                <w:b/>
                <w:bCs/>
                <w:noProof/>
                <w:sz w:val="20"/>
                <w:szCs w:val="20"/>
                <w:lang w:val="id-ID"/>
              </w:rPr>
            </w:pPr>
            <w:r w:rsidRPr="00E45CA6">
              <w:rPr>
                <w:rFonts w:ascii="Arial" w:hAnsi="Arial" w:cs="Arial"/>
                <w:b/>
                <w:bCs/>
                <w:noProof/>
                <w:sz w:val="20"/>
                <w:szCs w:val="20"/>
                <w:lang w:val="id-ID"/>
              </w:rPr>
              <w:t>Aspek</w:t>
            </w:r>
          </w:p>
        </w:tc>
        <w:tc>
          <w:tcPr>
            <w:tcW w:w="1824" w:type="dxa"/>
            <w:tcBorders>
              <w:top w:val="single" w:sz="4" w:space="0" w:color="auto"/>
              <w:bottom w:val="single" w:sz="4" w:space="0" w:color="auto"/>
            </w:tcBorders>
            <w:hideMark/>
          </w:tcPr>
          <w:p w14:paraId="481E092A" w14:textId="77777777" w:rsidR="009A5C88" w:rsidRPr="00E45CA6" w:rsidRDefault="009A5C88" w:rsidP="00E45CA6">
            <w:pPr>
              <w:jc w:val="center"/>
              <w:rPr>
                <w:rFonts w:ascii="Arial" w:hAnsi="Arial" w:cs="Arial"/>
                <w:b/>
                <w:bCs/>
                <w:noProof/>
                <w:sz w:val="20"/>
                <w:szCs w:val="20"/>
                <w:lang w:val="id-ID"/>
              </w:rPr>
            </w:pPr>
            <w:r w:rsidRPr="00E45CA6">
              <w:rPr>
                <w:rFonts w:ascii="Arial" w:hAnsi="Arial" w:cs="Arial"/>
                <w:b/>
                <w:bCs/>
                <w:noProof/>
                <w:sz w:val="20"/>
                <w:szCs w:val="20"/>
                <w:lang w:val="id-ID"/>
              </w:rPr>
              <w:t>Rincian Utama</w:t>
            </w:r>
          </w:p>
        </w:tc>
        <w:tc>
          <w:tcPr>
            <w:tcW w:w="917" w:type="dxa"/>
            <w:tcBorders>
              <w:top w:val="single" w:sz="4" w:space="0" w:color="auto"/>
              <w:bottom w:val="single" w:sz="4" w:space="0" w:color="auto"/>
            </w:tcBorders>
            <w:hideMark/>
          </w:tcPr>
          <w:p w14:paraId="4352600E" w14:textId="77777777" w:rsidR="009A5C88" w:rsidRPr="00E45CA6" w:rsidRDefault="009A5C88" w:rsidP="00E45CA6">
            <w:pPr>
              <w:jc w:val="center"/>
              <w:rPr>
                <w:rFonts w:ascii="Arial" w:hAnsi="Arial" w:cs="Arial"/>
                <w:b/>
                <w:bCs/>
                <w:noProof/>
                <w:sz w:val="20"/>
                <w:szCs w:val="20"/>
                <w:lang w:val="id-ID"/>
              </w:rPr>
            </w:pPr>
            <w:r w:rsidRPr="00E45CA6">
              <w:rPr>
                <w:rFonts w:ascii="Arial" w:hAnsi="Arial" w:cs="Arial"/>
                <w:b/>
                <w:bCs/>
                <w:noProof/>
                <w:sz w:val="20"/>
                <w:szCs w:val="20"/>
                <w:lang w:val="id-ID"/>
              </w:rPr>
              <w:t>Sumber Data</w:t>
            </w:r>
          </w:p>
        </w:tc>
      </w:tr>
      <w:tr w:rsidR="00E45CA6" w:rsidRPr="00E45CA6" w14:paraId="470F4481" w14:textId="77777777" w:rsidTr="00941341">
        <w:tc>
          <w:tcPr>
            <w:tcW w:w="1295" w:type="dxa"/>
            <w:tcBorders>
              <w:top w:val="single" w:sz="4" w:space="0" w:color="auto"/>
            </w:tcBorders>
            <w:hideMark/>
          </w:tcPr>
          <w:p w14:paraId="76A9E227"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Luas Tanam Sawit (2024/2025)</w:t>
            </w:r>
          </w:p>
        </w:tc>
        <w:tc>
          <w:tcPr>
            <w:tcW w:w="1824" w:type="dxa"/>
            <w:tcBorders>
              <w:top w:val="single" w:sz="4" w:space="0" w:color="auto"/>
            </w:tcBorders>
            <w:hideMark/>
          </w:tcPr>
          <w:p w14:paraId="6E55DAEA"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14,4 juta ha</w:t>
            </w:r>
          </w:p>
        </w:tc>
        <w:tc>
          <w:tcPr>
            <w:tcW w:w="917" w:type="dxa"/>
            <w:tcBorders>
              <w:top w:val="single" w:sz="4" w:space="0" w:color="auto"/>
            </w:tcBorders>
            <w:hideMark/>
          </w:tcPr>
          <w:p w14:paraId="6EBC40CF"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BPS RI</w:t>
            </w:r>
          </w:p>
        </w:tc>
      </w:tr>
      <w:tr w:rsidR="00E45CA6" w:rsidRPr="00E45CA6" w14:paraId="04DAA091" w14:textId="77777777" w:rsidTr="00941341">
        <w:tc>
          <w:tcPr>
            <w:tcW w:w="1295" w:type="dxa"/>
            <w:hideMark/>
          </w:tcPr>
          <w:p w14:paraId="2FC3D3B8"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Produksi CPO 2024/2025</w:t>
            </w:r>
          </w:p>
        </w:tc>
        <w:tc>
          <w:tcPr>
            <w:tcW w:w="1824" w:type="dxa"/>
            <w:hideMark/>
          </w:tcPr>
          <w:p w14:paraId="069DFEEE"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44,5 juta ton</w:t>
            </w:r>
          </w:p>
        </w:tc>
        <w:tc>
          <w:tcPr>
            <w:tcW w:w="917" w:type="dxa"/>
            <w:hideMark/>
          </w:tcPr>
          <w:p w14:paraId="7649B611"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BPS RI</w:t>
            </w:r>
          </w:p>
        </w:tc>
      </w:tr>
      <w:tr w:rsidR="00E45CA6" w:rsidRPr="00E45CA6" w14:paraId="5384B010" w14:textId="77777777" w:rsidTr="00941341">
        <w:tc>
          <w:tcPr>
            <w:tcW w:w="1295" w:type="dxa"/>
            <w:hideMark/>
          </w:tcPr>
          <w:p w14:paraId="524E8DDA"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Tren 5 Tahun</w:t>
            </w:r>
          </w:p>
        </w:tc>
        <w:tc>
          <w:tcPr>
            <w:tcW w:w="1824" w:type="dxa"/>
            <w:hideMark/>
          </w:tcPr>
          <w:p w14:paraId="2AA4C05C"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 Area tanam terus meningkat </w:t>
            </w:r>
          </w:p>
          <w:p w14:paraId="0D744CF0"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Produktivitas/hektar berfluktuasi</w:t>
            </w:r>
          </w:p>
        </w:tc>
        <w:tc>
          <w:tcPr>
            <w:tcW w:w="917" w:type="dxa"/>
            <w:hideMark/>
          </w:tcPr>
          <w:p w14:paraId="41B8398D"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BPS RI</w:t>
            </w:r>
          </w:p>
        </w:tc>
      </w:tr>
      <w:tr w:rsidR="00E45CA6" w:rsidRPr="00E45CA6" w14:paraId="3C7E7BC3" w14:textId="77777777" w:rsidTr="00941341">
        <w:tc>
          <w:tcPr>
            <w:tcW w:w="1295" w:type="dxa"/>
            <w:hideMark/>
          </w:tcPr>
          <w:p w14:paraId="2463277D"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Posisi Global</w:t>
            </w:r>
          </w:p>
        </w:tc>
        <w:tc>
          <w:tcPr>
            <w:tcW w:w="1824" w:type="dxa"/>
            <w:hideMark/>
          </w:tcPr>
          <w:p w14:paraId="0AEE9971"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Indonesia tetap produsen utama minyak sawit dunia</w:t>
            </w:r>
          </w:p>
        </w:tc>
        <w:tc>
          <w:tcPr>
            <w:tcW w:w="917" w:type="dxa"/>
            <w:hideMark/>
          </w:tcPr>
          <w:p w14:paraId="7E812BE9"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BPS RI </w:t>
            </w:r>
          </w:p>
        </w:tc>
      </w:tr>
      <w:tr w:rsidR="00E45CA6" w:rsidRPr="00E45CA6" w14:paraId="11E74EB1" w14:textId="77777777" w:rsidTr="00941341">
        <w:tc>
          <w:tcPr>
            <w:tcW w:w="1295" w:type="dxa"/>
            <w:hideMark/>
          </w:tcPr>
          <w:p w14:paraId="5B5EB3E4"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Emisi CO</w:t>
            </w:r>
            <w:r w:rsidRPr="00E45CA6">
              <w:rPr>
                <w:rFonts w:ascii="Cambria Math" w:hAnsi="Cambria Math" w:cs="Cambria Math"/>
                <w:noProof/>
                <w:sz w:val="20"/>
                <w:szCs w:val="20"/>
                <w:lang w:val="id-ID"/>
              </w:rPr>
              <w:t>₂</w:t>
            </w:r>
            <w:r w:rsidRPr="00E45CA6">
              <w:rPr>
                <w:rFonts w:ascii="Arial" w:hAnsi="Arial" w:cs="Arial"/>
                <w:noProof/>
                <w:sz w:val="20"/>
                <w:szCs w:val="20"/>
                <w:lang w:val="id-ID"/>
              </w:rPr>
              <w:t xml:space="preserve"> (2015–2022)</w:t>
            </w:r>
          </w:p>
        </w:tc>
        <w:tc>
          <w:tcPr>
            <w:tcW w:w="1824" w:type="dxa"/>
            <w:hideMark/>
          </w:tcPr>
          <w:p w14:paraId="5B2819AD"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Rata-rata 220 juta ton CO</w:t>
            </w:r>
            <w:r w:rsidRPr="00E45CA6">
              <w:rPr>
                <w:rFonts w:ascii="Cambria Math" w:hAnsi="Cambria Math" w:cs="Cambria Math"/>
                <w:noProof/>
                <w:sz w:val="20"/>
                <w:szCs w:val="20"/>
                <w:lang w:val="id-ID"/>
              </w:rPr>
              <w:t>₂</w:t>
            </w:r>
            <w:r w:rsidRPr="00E45CA6">
              <w:rPr>
                <w:rFonts w:ascii="Arial" w:hAnsi="Arial" w:cs="Arial"/>
                <w:noProof/>
                <w:sz w:val="20"/>
                <w:szCs w:val="20"/>
                <w:lang w:val="id-ID"/>
              </w:rPr>
              <w:t>/tahun</w:t>
            </w:r>
          </w:p>
        </w:tc>
        <w:tc>
          <w:tcPr>
            <w:tcW w:w="917" w:type="dxa"/>
            <w:hideMark/>
          </w:tcPr>
          <w:p w14:paraId="2C6DF89C"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Trase </w:t>
            </w:r>
          </w:p>
        </w:tc>
      </w:tr>
      <w:tr w:rsidR="00E45CA6" w:rsidRPr="00E45CA6" w14:paraId="21F9DF92" w14:textId="77777777" w:rsidTr="00941341">
        <w:tc>
          <w:tcPr>
            <w:tcW w:w="1295" w:type="dxa"/>
            <w:hideMark/>
          </w:tcPr>
          <w:p w14:paraId="71C2A3DB"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Sumber Emisi Utama</w:t>
            </w:r>
          </w:p>
        </w:tc>
        <w:tc>
          <w:tcPr>
            <w:tcW w:w="1824" w:type="dxa"/>
            <w:hideMark/>
          </w:tcPr>
          <w:p w14:paraId="5314F44E"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 Konversi lahan gambut </w:t>
            </w:r>
          </w:p>
          <w:p w14:paraId="65ED35F7"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 Kebakaran lahan </w:t>
            </w:r>
          </w:p>
          <w:p w14:paraId="583C3892"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Subsiden gambut</w:t>
            </w:r>
          </w:p>
        </w:tc>
        <w:tc>
          <w:tcPr>
            <w:tcW w:w="917" w:type="dxa"/>
            <w:hideMark/>
          </w:tcPr>
          <w:p w14:paraId="19530BD6"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Trase </w:t>
            </w:r>
          </w:p>
        </w:tc>
      </w:tr>
      <w:tr w:rsidR="00E45CA6" w:rsidRPr="00E45CA6" w14:paraId="0D8D21B4" w14:textId="77777777" w:rsidTr="00941341">
        <w:tc>
          <w:tcPr>
            <w:tcW w:w="1295" w:type="dxa"/>
            <w:hideMark/>
          </w:tcPr>
          <w:p w14:paraId="0A029AD1"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Deforestasi 2023–2024</w:t>
            </w:r>
          </w:p>
        </w:tc>
        <w:tc>
          <w:tcPr>
            <w:tcW w:w="1824" w:type="dxa"/>
            <w:hideMark/>
          </w:tcPr>
          <w:p w14:paraId="20F9EEF0"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 Laju deforestasi meningkat di beberapa provinsi </w:t>
            </w:r>
          </w:p>
          <w:p w14:paraId="2F502AB4"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Dipicu pembukaan lahan legal dan ilegal</w:t>
            </w:r>
          </w:p>
        </w:tc>
        <w:tc>
          <w:tcPr>
            <w:tcW w:w="917" w:type="dxa"/>
            <w:hideMark/>
          </w:tcPr>
          <w:p w14:paraId="31831A1A"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Trase</w:t>
            </w:r>
          </w:p>
        </w:tc>
      </w:tr>
      <w:tr w:rsidR="00E45CA6" w:rsidRPr="00E45CA6" w14:paraId="3D123EF0" w14:textId="77777777" w:rsidTr="00941341">
        <w:tc>
          <w:tcPr>
            <w:tcW w:w="1295" w:type="dxa"/>
            <w:hideMark/>
          </w:tcPr>
          <w:p w14:paraId="7A52AA17"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Kebijakan Pemerintah</w:t>
            </w:r>
          </w:p>
        </w:tc>
        <w:tc>
          <w:tcPr>
            <w:tcW w:w="1824" w:type="dxa"/>
            <w:hideMark/>
          </w:tcPr>
          <w:p w14:paraId="50541AEE"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 Penyitaan lahan hasil operasi ilegal </w:t>
            </w:r>
          </w:p>
          <w:p w14:paraId="459A0FED"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Alih kelola lahan sebagai langkah tata kelola</w:t>
            </w:r>
          </w:p>
        </w:tc>
        <w:tc>
          <w:tcPr>
            <w:tcW w:w="917" w:type="dxa"/>
            <w:hideMark/>
          </w:tcPr>
          <w:p w14:paraId="4261CD6A"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Trase</w:t>
            </w:r>
          </w:p>
        </w:tc>
      </w:tr>
    </w:tbl>
    <w:p w14:paraId="00055874" w14:textId="77777777" w:rsidR="009A5C88" w:rsidRPr="00E45CA6" w:rsidRDefault="009A5C88" w:rsidP="00E45CA6">
      <w:pPr>
        <w:tabs>
          <w:tab w:val="left" w:pos="7740"/>
        </w:tabs>
        <w:spacing w:after="0" w:line="240" w:lineRule="auto"/>
        <w:rPr>
          <w:rFonts w:ascii="Arial" w:eastAsia="Times New Roman" w:hAnsi="Arial" w:cs="Arial"/>
          <w:iCs/>
          <w:noProof/>
          <w:sz w:val="20"/>
          <w:szCs w:val="20"/>
          <w:lang w:val="id-ID"/>
        </w:rPr>
      </w:pPr>
    </w:p>
    <w:p w14:paraId="681F16C1" w14:textId="77777777" w:rsidR="009A5C88" w:rsidRPr="009A5C88" w:rsidRDefault="009A5C88" w:rsidP="009A5C88">
      <w:pPr>
        <w:tabs>
          <w:tab w:val="left" w:pos="7740"/>
        </w:tabs>
        <w:spacing w:after="0" w:line="360" w:lineRule="auto"/>
        <w:rPr>
          <w:rFonts w:ascii="Arial" w:eastAsia="Times New Roman" w:hAnsi="Arial" w:cs="Arial"/>
          <w:iCs/>
          <w:noProof/>
          <w:sz w:val="24"/>
          <w:szCs w:val="24"/>
          <w:lang w:val="id-ID"/>
        </w:rPr>
      </w:pPr>
    </w:p>
    <w:p w14:paraId="0BB8E84C" w14:textId="77777777" w:rsidR="009A5C88" w:rsidRPr="009A5C88" w:rsidRDefault="009A5C88" w:rsidP="009A5C88">
      <w:pPr>
        <w:pStyle w:val="ListParagraph"/>
        <w:numPr>
          <w:ilvl w:val="0"/>
          <w:numId w:val="2"/>
        </w:numPr>
        <w:tabs>
          <w:tab w:val="left" w:pos="7740"/>
        </w:tabs>
        <w:spacing w:after="0" w:line="360" w:lineRule="auto"/>
        <w:ind w:left="360"/>
        <w:rPr>
          <w:rFonts w:ascii="Arial" w:eastAsia="Times New Roman" w:hAnsi="Arial" w:cs="Arial"/>
          <w:b/>
          <w:bCs/>
          <w:iCs/>
          <w:noProof/>
          <w:sz w:val="24"/>
          <w:szCs w:val="24"/>
          <w:lang w:val="id-ID"/>
        </w:rPr>
      </w:pPr>
      <w:r w:rsidRPr="009A5C88">
        <w:rPr>
          <w:rFonts w:ascii="Arial" w:eastAsia="Times New Roman" w:hAnsi="Arial" w:cs="Arial"/>
          <w:b/>
          <w:bCs/>
          <w:iCs/>
          <w:noProof/>
          <w:sz w:val="24"/>
          <w:szCs w:val="24"/>
          <w:lang w:val="id-ID"/>
        </w:rPr>
        <w:t>Dampak Lingkungan</w:t>
      </w:r>
    </w:p>
    <w:p w14:paraId="4FB46873" w14:textId="591D5A90" w:rsidR="009A5C88" w:rsidRPr="009A5C88" w:rsidRDefault="009A5C88" w:rsidP="009A5C88">
      <w:pPr>
        <w:spacing w:after="0" w:line="360" w:lineRule="auto"/>
        <w:ind w:firstLine="540"/>
        <w:jc w:val="both"/>
        <w:rPr>
          <w:rFonts w:ascii="Arial" w:hAnsi="Arial" w:cs="Arial"/>
          <w:noProof/>
          <w:sz w:val="24"/>
          <w:szCs w:val="24"/>
          <w:lang w:val="id-ID"/>
        </w:rPr>
      </w:pPr>
      <w:r w:rsidRPr="009A5C88">
        <w:rPr>
          <w:rFonts w:ascii="Arial" w:hAnsi="Arial" w:cs="Arial"/>
          <w:noProof/>
          <w:sz w:val="24"/>
          <w:szCs w:val="24"/>
          <w:lang w:val="id-ID"/>
        </w:rPr>
        <w:t xml:space="preserve">Konversi hutan primer dan sekunder menjadi perkebunan sawit menimbulkan serangkaian dampak ekologis yang saling terkait. Hilangnya penutup vegetasi hutan memutus koridor satwa dan menurunkan keanekaragaman hayati, sehingga spesies kunci seperti orangutan, harimau sumatra, dan gajah asia kehilangan habitat kritis dan </w:t>
      </w:r>
      <w:r w:rsidRPr="009A5C88">
        <w:rPr>
          <w:rFonts w:ascii="Arial" w:hAnsi="Arial" w:cs="Arial"/>
          <w:noProof/>
          <w:sz w:val="24"/>
          <w:szCs w:val="24"/>
          <w:lang w:val="id-ID"/>
        </w:rPr>
        <w:lastRenderedPageBreak/>
        <w:t xml:space="preserve">populasinya terfragmentasi hingga rentan punah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{"citationItems":[{"id":"ITEM-1","itemData":{"DOI":"10.14710/jil.17.1.130-139","ISSN":"1829-8907","abstract":"Perkebunan kelapa sawit berdampak negatif pada aspek-aspek lingkungan, sosial dan ekonomi komunitas lokal. Melalui peningkatan system tata kelola perkebunan kelapa sawit maka dapat mengurangi dampak negatif tersebut. System tata kelola seperti sertifikasi dan standar-standar keberlanjutan diinisiasi oleh produser, distributor, pemerintah, akademisi, pasar internasional dan LSM. Sistem tata kelola ini dapat mencakup skala global atau nasional. Indonesia telah mengimplementasikan system tata kelola yang berskala global dan nasional namun belum semua perusahaan perkebunan kelapa sawit dan smallholder mengimplementasikanya. Oleh karena itu, sistem tata kelola tersebut belum berhasil menurunkan dampak negatif ekspansi perkebunan kelapa sawit. Konflik sosial masih sering terjadi akibat dari kebakaran hutan dan pencemaran lingkungan. Di Kutai Kartanegara, Kalimantan Timur, Indonesia, ekspansi perkebunan kelapa sawit terjadi secara cepat dimana ekspansi tersebut ada yang tidak menerapkan sistem tata kelola perkebunan kelapa sawit. Menggunakan metode survey dan wawancara mendalam, penelitian ini bertujuan mengukur dampak ekspansi perkebunan kelapa sawit pada kerentanan ekologi, sosial dan ekonomi.  Hasil penelitian ini mengindikasikan bahwa (1) RSPO dan ISPO belum bisa menekan laju deforestasi akibat ekspansi perkebunan kelapa sawit; (2) Walaupun RSPO dan ISPO diimplementasikan, masih tetap terjadi konflik sosial dan kerentanan ekonomi pada komunitas lokal.  ","author":[{"dropping-particle":"","family":"Amalia","given":"Rizka","non-dropping-particle":"","parse-names":false,"suffix":""},{"dropping-particle":"","family":"Dharmawan","given":"Arya Hadi","non-dropping-particle":"","parse-names":false,"suffix":""},{"dropping-particle":"","family":"Prasetyo","given":"Lilik Budi","non-dropping-particle":"","parse-names":false,"suffix":""},{"dropping-particle":"","family":"Pacheco","given":"Pablo","non-dropping-particle":"","parse-names":false,"suffix":""}],"container-title":"Jurnal Ilmu Lingkungan","id":"ITEM-1","issue":"1","issued":{"date-parts":[["2019"]]},"page":"130","title":"Perubahan Tutupan Lahan Akibat Ekspansi Perkebunan Kelapa Sawit: Dampak Sosial, Ekonomi dan Ekologi","type":"article-journal","volume":"17"},"uris":["http://www.mendeley.com/documents/?uuid=fa044515-59ae-4b96-8f04-10b39f117c8b"]}],"mendeley":{"formattedCitation":"(Amalia, Dharmawan, Prasetyo, &amp; Pacheco, 2019)","plainTextFormattedCitation":"(Amalia, Dharmawan, Prasetyo, &amp; Pacheco, 2019)","previouslyFormattedCitation":"(Amalia et al. 2019)"},"properties":{"noteIndex":0},"schema":"https://github.com/citation-style-language/schema/raw/master/csl-citation.json"}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(Amalia, Dharmawan, Prasetyo, &amp; Pacheco, 2019)</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Kerusakan kanopi hutan juga mengganggu fungsi ekosistem, antara lain siklus hidrologi yang penting bagi penyimpanan air dan pengendalian banjir, mempercepat laju erosi, serta menurunkan kemampuan tanah menyerap karbon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{"citationItems":[{"id":"ITEM-1","itemData":{"DOI":"10.14710/jiip.v6i1.10083","ISSN":"2460-142X","abstract":"Penelitian ini bertujuan untuk mengetahui perkembangan tingkat deforestasi di Indonesia dengan melihat implikasi dan upaya Indonesia dalam mengurangi deforestasi yang tentunya memberikan dampak baik terhadap pengurangan emisi atau pemanasan global. Penelitian ini menggunakan metode penelitian kualitatif yang bersumber dari berbagai literatur atau studi kepustakaan dalam menjawab hasil penelitian. Hasil temuan menemukan bahwa tingkat deforestasi di Indonesia masih tinggi. Deforestasi merupakan permasalahan yang memerlukan strategi dalam penguranganya, salah satunya dengan program REDD+ (Reducing Emissions from Deforestation and Forest Degradation). REDD+ berhasil menurunkan deforestasi setiap tahunnya karena adanya pendekatan dan kerjasama yang lebih dalam mengupayakan deforestasi serta pengurangan emisi atau pemanasan global. Dengan adanya REDD+ ini, beberapa daerah berusaha melakukan transformasi kebijakan untuk mendukung misi perbaikan ekologis dan deforestasi di kawasannya, sebagaimana terjadi di wilayah Pulau Kalimantan maupun di Nusa Tenggara Barat. ","author":[{"dropping-particle":"","family":"Wahyuni","given":"Herpita","non-dropping-particle":"","parse-names":false,"suffix":""},{"dropping-particle":"","family":"Suranto","given":"Suranto","non-dropping-particle":"","parse-names":false,"suffix":""}],"container-title":"JIIP: Jurnal Ilmiah Ilmu Pemerintahan","id":"ITEM-1","issue":"1","issued":{"date-parts":[["2021"]]},"page":"148-162","title":"Dampak Deforestasi Hutan Skala Besar terhadap Pemanasan Global di Indonesia","type":"article-journal","volume":"6"},"uris":["http://www.mendeley.com/documents/?uuid=6b8b56e8-2788-4354-bcee-b9ce95ff0930"]}],"mendeley":{"formattedCitation":"(Wahyuni &amp; Suranto, 2021)","plainTextFormattedCitation":"(Wahyuni &amp; Suranto, 2021)","previouslyFormattedCitation":"(Wahyuni and Suranto 2021)"},"properties":{"noteIndex":0},"schema":"https://github.com/citation-style-language/schema/raw/master/csl-citation.json"}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(Wahyuni &amp; Suranto, 2021)</w:t>
      </w:r>
      <w:r w:rsidRPr="009A5C88">
        <w:rPr>
          <w:rFonts w:ascii="Arial" w:hAnsi="Arial" w:cs="Arial"/>
          <w:noProof/>
          <w:sz w:val="24"/>
          <w:szCs w:val="24"/>
          <w:lang w:val="id-ID"/>
        </w:rPr>
        <w:fldChar w:fldCharType="end"/>
      </w:r>
      <w:r w:rsidRPr="009A5C88">
        <w:rPr>
          <w:rFonts w:ascii="Arial" w:hAnsi="Arial" w:cs="Arial"/>
          <w:noProof/>
          <w:sz w:val="24"/>
          <w:szCs w:val="24"/>
          <w:lang w:val="id-ID"/>
        </w:rPr>
        <w:t>. Kondisi ini pada akhirnya meningkatkan emisi CO</w:t>
      </w:r>
      <w:r w:rsidRPr="009A5C88">
        <w:rPr>
          <w:rFonts w:ascii="Arial" w:hAnsi="Arial" w:cs="Arial"/>
          <w:noProof/>
          <w:sz w:val="24"/>
          <w:szCs w:val="24"/>
          <w:vertAlign w:val="subscript"/>
          <w:lang w:val="id-ID"/>
        </w:rPr>
        <w:t>2</w:t>
      </w:r>
      <w:r w:rsidRPr="009A5C88">
        <w:rPr>
          <w:rFonts w:ascii="Arial" w:hAnsi="Arial" w:cs="Arial"/>
          <w:noProof/>
          <w:sz w:val="24"/>
          <w:szCs w:val="24"/>
          <w:lang w:val="id-ID"/>
        </w:rPr>
        <w:t xml:space="preserve"> dan mengurangi peran hutan sebagai penyerap karbon alami. Dampak tersebut semakin diperparah ketika pembukaan lahan dilakukan di wilayah gambut, karena pelepasan cadangan karbon yang sangat besar dari lapisan gambut memicu pemanasan global yang lebih intens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{"citationItems":[{"id":"ITEM-1","itemData":{"ISSN":"3031-2515","abstract":"Deforestation and forest degradation are important environmental problems in Indonesia that cause pollution, loss of biodiversity and negative impacts on the climate. In this article, the impact of deforestation and environmental degradation is reviewed from Law Number 32 of 2009 concerning Environmental Protection and Management. This study shows that unsustainable natural resource management methods, such as building settlements and oil palm plantations on forest land, result in poorer soil quality and higher greenhouse gas emissions. This study recommends the need to strengthen law enforcement, increase public awareness, and collaborate between government, civil society, and the private sector to create more effective policies in addressing deforestation and degradation. Only through a comprehensive and collaborative approach can environmental sustainability be maintained, and the potential of Indonesia's natural resources can be utilized sustainably for future generations. Thus, this article contributes to an understanding of how deforestation and degradation occurs in Indonesia, what the impact of deforestation and degradation is and what efforts must be made to preserve Indonesia's forests.","author":[{"dropping-particle":"","family":"Ramadhan","given":"Laksana Putra","non-dropping-particle":"","parse-names":false,"suffix":""}],"container-title":"BELEID: Journal of Administrative Law and Public Policy","id":"ITEM-1","issue":"1","issued":{"date-parts":[["2025"]]},"page":"91-109","title":"Analisis Deforestasi dan Degradasi Terhadap Lingkungan Hidup","type":"article-journal","volume":"3"},"uris":["http://www.mendeley.com/documents/?uuid=62ba0090-858d-4fe3-a8cb-1d4b2553fdec"]}],"mendeley":{"formattedCitation":"(L. P. Ramadhan, 2025)","plainTextFormattedCitation":"(L. P. Ramadhan, 2025)","previouslyFormattedCitation":"(L. P. Ramadhan 2025)"},"properties":{"noteIndex":0},"schema":"https://github.com/citation-style-language/schema/raw/master/csl-citation.json"}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(L. P. Ramadhan, 2025)</w:t>
      </w:r>
      <w:r w:rsidRPr="009A5C88">
        <w:rPr>
          <w:rFonts w:ascii="Arial" w:hAnsi="Arial" w:cs="Arial"/>
          <w:noProof/>
          <w:sz w:val="24"/>
          <w:szCs w:val="24"/>
          <w:lang w:val="id-ID"/>
        </w:rPr>
        <w:fldChar w:fldCharType="end"/>
      </w:r>
      <w:r w:rsidRPr="009A5C88">
        <w:rPr>
          <w:rFonts w:ascii="Arial" w:hAnsi="Arial" w:cs="Arial"/>
          <w:noProof/>
          <w:sz w:val="24"/>
          <w:szCs w:val="24"/>
          <w:lang w:val="id-ID"/>
        </w:rPr>
        <w:t>.</w:t>
      </w:r>
    </w:p>
    <w:p w14:paraId="5717F07F" w14:textId="575D6E2B" w:rsidR="009A5C88" w:rsidRPr="009A5C88" w:rsidRDefault="009A5C88" w:rsidP="009A5C88">
      <w:pPr>
        <w:spacing w:after="0" w:line="360" w:lineRule="auto"/>
        <w:ind w:firstLine="540"/>
        <w:jc w:val="both"/>
        <w:rPr>
          <w:rFonts w:ascii="Arial" w:hAnsi="Arial" w:cs="Arial"/>
          <w:noProof/>
          <w:sz w:val="24"/>
          <w:szCs w:val="24"/>
          <w:lang w:val="id-ID"/>
        </w:rPr>
      </w:pPr>
      <w:r w:rsidRPr="009A5C88">
        <w:rPr>
          <w:rFonts w:ascii="Arial" w:hAnsi="Arial" w:cs="Arial"/>
          <w:noProof/>
          <w:sz w:val="24"/>
          <w:szCs w:val="24"/>
          <w:lang w:val="id-ID"/>
        </w:rPr>
        <w:t>Pengeringan dan pengola</w:t>
      </w:r>
      <w:r w:rsidR="00406F71">
        <w:rPr>
          <w:rFonts w:ascii="Arial" w:hAnsi="Arial" w:cs="Arial"/>
          <w:noProof/>
          <w:sz w:val="24"/>
          <w:szCs w:val="24"/>
          <w:lang w:val="id-ID"/>
        </w:rPr>
        <w:t>h</w:t>
      </w:r>
      <w:r w:rsidRPr="009A5C88">
        <w:rPr>
          <w:rFonts w:ascii="Arial" w:hAnsi="Arial" w:cs="Arial"/>
          <w:noProof/>
          <w:sz w:val="24"/>
          <w:szCs w:val="24"/>
          <w:lang w:val="id-ID"/>
        </w:rPr>
        <w:t>an lahan gambut untuk perkebunan menghasilkan emisi karbon yang sangat tinggi. Studi empiris mengindikasikan bahwa konversi lahan gambut dapat menghasilkan emisi tahunan dalam skala megaton CO</w:t>
      </w:r>
      <w:r w:rsidRPr="009A5C88">
        <w:rPr>
          <w:rFonts w:ascii="Arial" w:hAnsi="Arial" w:cs="Arial"/>
          <w:noProof/>
          <w:sz w:val="24"/>
          <w:szCs w:val="24"/>
          <w:vertAlign w:val="subscript"/>
          <w:lang w:val="id-ID"/>
        </w:rPr>
        <w:t>2</w:t>
      </w:r>
      <w:r w:rsidRPr="009A5C88">
        <w:rPr>
          <w:rFonts w:ascii="Arial" w:hAnsi="Arial" w:cs="Arial"/>
          <w:noProof/>
          <w:sz w:val="24"/>
          <w:szCs w:val="24"/>
          <w:lang w:val="id-ID"/>
        </w:rPr>
        <w:t xml:space="preserve"> per hektar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{"citationItems":[{"id":"ITEM-1","itemData":{"author":[{"dropping-particle":"","family":"Asia","given":"Traction Energy","non-dropping-particle":"","parse-names":false,"suffix":""}],"id":"ITEM-1","issued":{"date-parts":[["2019"]]},"publisher-place":"Jakarta","title":"Emisi Gas Rumah Kaca dari Produksi Biodiesel di Indonesia Berdasarkan Analisa Daur Hidup","type":"book"},"uris":["http://www.mendeley.com/documents/?uuid=51673f08-6181-4321-b009-2d48ee15f5f9"]}],"mendeley":{"formattedCitation":"(Asia, 2019)","plainTextFormattedCitation":"(Asia, 2019)","previouslyFormattedCitation":"(Asia 2019)"},"properties":{"noteIndex":0},"schema":"https://github.com/citation-style-language/schema/raw/master/csl-citation.json"}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(Asia, 2019)</w:t>
      </w:r>
      <w:r w:rsidRPr="009A5C88">
        <w:rPr>
          <w:rFonts w:ascii="Arial" w:hAnsi="Arial" w:cs="Arial"/>
          <w:noProof/>
          <w:sz w:val="24"/>
          <w:szCs w:val="24"/>
          <w:lang w:val="id-ID"/>
        </w:rPr>
        <w:fldChar w:fldCharType="end"/>
      </w:r>
      <w:r w:rsidRPr="009A5C88">
        <w:rPr>
          <w:rFonts w:ascii="Arial" w:hAnsi="Arial" w:cs="Arial"/>
          <w:noProof/>
          <w:sz w:val="24"/>
          <w:szCs w:val="24"/>
          <w:lang w:val="id-ID"/>
        </w:rPr>
        <w:t>. Pembasahan kembali lahan gambut (</w:t>
      </w:r>
      <w:r w:rsidRPr="009A5C88">
        <w:rPr>
          <w:rFonts w:ascii="Arial" w:hAnsi="Arial" w:cs="Arial"/>
          <w:i/>
          <w:iCs/>
          <w:noProof/>
          <w:sz w:val="24"/>
          <w:szCs w:val="24"/>
          <w:lang w:val="id-ID"/>
        </w:rPr>
        <w:t>rewetting peatlands)</w:t>
      </w:r>
      <w:r w:rsidRPr="009A5C88">
        <w:rPr>
          <w:rFonts w:ascii="Arial" w:hAnsi="Arial" w:cs="Arial"/>
          <w:noProof/>
          <w:sz w:val="24"/>
          <w:szCs w:val="24"/>
          <w:lang w:val="id-ID"/>
        </w:rPr>
        <w:t xml:space="preserve"> dapat memberikan potensi mitigasi subtansial atau peluang besar untuk </w:t>
      </w:r>
      <w:r w:rsidRPr="009A5C88">
        <w:rPr>
          <w:rFonts w:ascii="Arial" w:hAnsi="Arial" w:cs="Arial"/>
          <w:noProof/>
          <w:sz w:val="24"/>
          <w:szCs w:val="24"/>
          <w:lang w:val="id-ID"/>
        </w:rPr>
        <w:t xml:space="preserve">mengurangi emisi gas rumah kaca selama dilakukan secara luas dan menyeluruh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an…","author":[{"dropping-particle":"","family":"Rahma","given":"Adinda Aulia","non-dropping-particle":"","parse-names":false,"suffix":""},{"dropping-particle":"","family":"Naj’la","given":"","non-dropping-particle":"","parse-names":false,"suffix":""},{"dropping-particle":"","family":"Sarita","given":"Wasila Rahma","non-dropping-particle":"","parse-names":false,"suffix":""},{"dropping-particle":"","family":"Pelly","given":"Dandi Arianto","non-dropping-particle":"","parse-names":false,"suffix":""},{"dropping-particle":"","family":"Zilvina","given":"","non-dropping-particle":"","parse-names":false,"suffix":""}],"container-title":"Psikosospen : Jurnal Psikososial dan Pendidikan","id":"ITEM-1","issue":"2","issued":{"date-parts":[["2021"]]},"page":"167-186","title":"Pengelolaan Tanah Gambut dalam Menghadapi Tantangan Lingkungan dan Sosial","type":"article-journal","volume":"1"},"uris":["http://www.mendeley.com/documents/?uuid=7fd07921-2066-47f4-b5b3-a42a20a9065d"]}],"mendeley":{"formattedCitation":"(Rahma, Naj’la, Sarita, Pelly, &amp; Zilvina, 2021)","plainTextFormattedCitation":"(Rahma, Naj’la, Sarita, Pelly, &amp; Zilvina, 2021)","previouslyFormattedCitation":"(Rahma et al. 2021)"},"properties":{"noteIndex":0},"schema":"https://github.com/citation-style-language/schema/raw/master/csl-citation.json"}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(Rahma, Naj’la, Sarita, Pelly, &amp; Zilvina, 2021)</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Selain isu karbon, praktik intensif menggunakan input agro-kimia pada perkebunan sawit menyebabkan pencemaran air dan penurunan kualitas tanah lokal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{"citationItems":[{"id":"ITEM-1","itemData":{"DOI":"10.22302/iopri.war.warta.v29i3.159","ISSN":"0853-2141","abstract":"Pencapaian produksi yang tinggi di perkebunan kelapa sawit selalu diidentikkan dengan pemupukan. Paradigma semakin banyak pupuk yang diberikan akan semakin tinggi produksi yang dihasilkan tampaknya masih melekat pada pemikiran banyak praktisi kelapa sawit. Penurunan efektivitas dan efisiensi pemupukan dari pupuk kimia yang diaplikasikan telah menginisiasi praktik pengelolaan perkebunan yang lebih fokus terhadap kesehatan tanah beberapa tahun belakangan ini. Penggunaan pupuk organik dan pupuk hayati menjadi suatu solusi yang diyakini mampu memperbaiki kualitas dan kesehatan tanah sehingga dapat meningkatkan produktivitas tanah yang pada akhirnya dapat menghasilkan pertumbuhan dan produksi tanaman kelapa sawit yang optimal. Seyogjanya pemupukan seharusnya tidak hanya dipandang sebagai upaya untuk “memberi makan tanaman” namun juga harus bisa sekaligus sebagai upaya untuk “memberi makan tanah”. Dengan menyeimbangkan keduanya, maka pemupukan yang dilakukan dapat menghasilkan efektivitas dan efisiensi yang tinggi serta yang tidak kalah penting, berkesinambungan. Oleh karenanya butuh pemahaman tentang fungsi dan peran dari pupuk kimia, pupuk organik, dan pupuk hayati terhadap pemenuhan nutrisi kelapa sawit. Artikel ini menjelaskan secara sederhana dengan bahasa yang mudah dimengerti oleh praktisi perkebunan tentang manfaat dan fungsi dari masing-masing jenis pupuk.","author":[{"dropping-particle":"","family":"Noviandi Ginting","given":"Eko","non-dropping-particle":"","parse-names":false,"suffix":""}],"container-title":"WARTA Pusat Penelitian Kelapa Sawit","id":"ITEM-1","issue":"3","issued":{"date-parts":[["2024"]]},"page":"147-160","title":"Pupuk Kimia, Pupuk Organik, Atau Pupuk Hayati ? Memahami Filosofi Pemupukan Untuk Perkebunan Kelapa Sawit Yang Berkelanjutan","type":"article-journal","volume":"29"},"uris":["http://www.mendeley.com/documents/?uuid=f270e5ff-b790-4ee1-b629-156ff8b2b684"]}],"mendeley":{"formattedCitation":"(Noviandi Ginting, 2024)","plainTextFormattedCitation":"(Noviandi Ginting, 2024)","previouslyFormattedCitation":"(Noviandi Ginting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(Noviandi Ginting,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Efek kumulatif ini mempengaruhi layanan ekosistem yang pada gilirannya berdampak pada kesejahteraan masyarakat sekitar yang bergantung pada sumber daya alam.</w:t>
      </w:r>
    </w:p>
    <w:p w14:paraId="4C72277B" w14:textId="77777777" w:rsidR="009A5C88" w:rsidRPr="009A5C88" w:rsidRDefault="009A5C88" w:rsidP="009A5C88">
      <w:pPr>
        <w:spacing w:after="0" w:line="360" w:lineRule="auto"/>
        <w:jc w:val="both"/>
        <w:rPr>
          <w:rFonts w:ascii="Arial" w:hAnsi="Arial" w:cs="Arial"/>
          <w:noProof/>
          <w:sz w:val="24"/>
          <w:szCs w:val="24"/>
          <w:lang w:val="id-ID"/>
        </w:rPr>
      </w:pPr>
    </w:p>
    <w:p w14:paraId="52617060" w14:textId="77777777" w:rsidR="009A5C88" w:rsidRPr="00E45CA6" w:rsidRDefault="009A5C88" w:rsidP="00E45CA6">
      <w:pPr>
        <w:tabs>
          <w:tab w:val="left" w:pos="7740"/>
        </w:tabs>
        <w:spacing w:after="0" w:line="240" w:lineRule="auto"/>
        <w:jc w:val="center"/>
        <w:rPr>
          <w:rFonts w:ascii="Arial" w:eastAsia="Times New Roman" w:hAnsi="Arial" w:cs="Arial"/>
          <w:b/>
          <w:bCs/>
          <w:iCs/>
          <w:noProof/>
          <w:sz w:val="20"/>
          <w:szCs w:val="20"/>
          <w:lang w:val="id-ID"/>
        </w:rPr>
      </w:pPr>
      <w:r w:rsidRPr="00E45CA6">
        <w:rPr>
          <w:rFonts w:ascii="Arial" w:eastAsia="Times New Roman" w:hAnsi="Arial" w:cs="Arial"/>
          <w:b/>
          <w:bCs/>
          <w:iCs/>
          <w:noProof/>
          <w:sz w:val="20"/>
          <w:szCs w:val="20"/>
          <w:lang w:val="id-ID"/>
        </w:rPr>
        <w:t>Tabel 2. Perkebunan sawit dan dampak lingkungan</w:t>
      </w:r>
    </w:p>
    <w:tbl>
      <w:tblPr>
        <w:tblStyle w:val="TableGrid"/>
        <w:tblW w:w="4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260"/>
        <w:gridCol w:w="1440"/>
      </w:tblGrid>
      <w:tr w:rsidR="009A5C88" w:rsidRPr="00E45CA6" w14:paraId="44BE1378" w14:textId="77777777" w:rsidTr="0088306E">
        <w:tc>
          <w:tcPr>
            <w:tcW w:w="1440" w:type="dxa"/>
            <w:tcBorders>
              <w:top w:val="single" w:sz="4" w:space="0" w:color="auto"/>
              <w:bottom w:val="single" w:sz="4" w:space="0" w:color="auto"/>
            </w:tcBorders>
            <w:hideMark/>
          </w:tcPr>
          <w:p w14:paraId="7F20F2C8" w14:textId="77777777" w:rsidR="009A5C88" w:rsidRPr="00E45CA6" w:rsidRDefault="009A5C88" w:rsidP="00E45CA6">
            <w:pPr>
              <w:jc w:val="center"/>
              <w:rPr>
                <w:rFonts w:ascii="Arial" w:hAnsi="Arial" w:cs="Arial"/>
                <w:b/>
                <w:bCs/>
                <w:noProof/>
                <w:sz w:val="20"/>
                <w:szCs w:val="20"/>
                <w:lang w:val="id-ID"/>
              </w:rPr>
            </w:pPr>
            <w:r w:rsidRPr="00E45CA6">
              <w:rPr>
                <w:rFonts w:ascii="Arial" w:hAnsi="Arial" w:cs="Arial"/>
                <w:b/>
                <w:bCs/>
                <w:noProof/>
                <w:sz w:val="20"/>
                <w:szCs w:val="20"/>
                <w:lang w:val="id-ID"/>
              </w:rPr>
              <w:t>Aspek Lingkungan Utama</w:t>
            </w:r>
          </w:p>
        </w:tc>
        <w:tc>
          <w:tcPr>
            <w:tcW w:w="1260" w:type="dxa"/>
            <w:tcBorders>
              <w:top w:val="single" w:sz="4" w:space="0" w:color="auto"/>
              <w:bottom w:val="single" w:sz="4" w:space="0" w:color="auto"/>
            </w:tcBorders>
            <w:hideMark/>
          </w:tcPr>
          <w:p w14:paraId="2E0ECFAE" w14:textId="53FB1E88" w:rsidR="009A5C88" w:rsidRPr="00E45CA6" w:rsidRDefault="009A5C88" w:rsidP="00E45CA6">
            <w:pPr>
              <w:jc w:val="center"/>
              <w:rPr>
                <w:rFonts w:ascii="Arial" w:hAnsi="Arial" w:cs="Arial"/>
                <w:b/>
                <w:bCs/>
                <w:noProof/>
                <w:sz w:val="20"/>
                <w:szCs w:val="20"/>
                <w:lang w:val="id-ID"/>
              </w:rPr>
            </w:pPr>
            <w:r w:rsidRPr="00E45CA6">
              <w:rPr>
                <w:rFonts w:ascii="Arial" w:hAnsi="Arial" w:cs="Arial"/>
                <w:b/>
                <w:bCs/>
                <w:noProof/>
                <w:sz w:val="20"/>
                <w:szCs w:val="20"/>
                <w:lang w:val="id-ID"/>
              </w:rPr>
              <w:t xml:space="preserve">Data </w:t>
            </w:r>
            <w:r w:rsidRPr="00E45CA6">
              <w:rPr>
                <w:rFonts w:ascii="Arial" w:hAnsi="Arial" w:cs="Arial"/>
                <w:b/>
                <w:bCs/>
                <w:noProof/>
                <w:sz w:val="20"/>
                <w:szCs w:val="20"/>
                <w:lang w:val="id-ID"/>
              </w:rPr>
              <w:fldChar w:fldCharType="begin" w:fldLock="1"/>
            </w:r>
            <w:r w:rsidR="00B1345C">
              <w:rPr>
                <w:rFonts w:ascii="Arial" w:hAnsi="Arial" w:cs="Arial"/>
                <w:b/>
                <w:bCs/>
                <w:noProof/>
                <w:sz w:val="20"/>
                <w:szCs w:val="20"/>
                <w:lang w:val="id-ID"/>
              </w:rPr>
              <w:instrText>ADDIN CSL_CITATION {"citationItems":[{"id":"ITEM-1","itemData":{"author":[{"dropping-particle":"","family":"Badan Pusat Statistik Republik Indonesia","given":"","non-dropping-particle":"","parse-names":false,"suffix":""}],"id":"ITEM-1","issued":{"date-parts":[["2024"]]},"number-of-pages":"1-160","publisher-place":"Jakarta","title":"Indonesia oil palm statistics","type":"book","volume":"17"},"uris":["http://www.mendeley.com/documents/?uuid=f275cfc0-ba04-4311-b67a-ae90c2b97c14"]}],"mendeley":{"formattedCitation":"(Badan Pusat Statistik Republik Indonesia, 2024)","plainTextFormattedCitation":"(Badan Pusat Statistik Republik Indonesia, 2024)","previouslyFormattedCitation":"(Badan Pusat Statistik Republik Indonesia 2024)"},"properties":{"noteIndex":0},"schema":"https://github.com/citation-style-language/schema/raw/master/csl-citation.json"}</w:instrText>
            </w:r>
            <w:r w:rsidRPr="00E45CA6">
              <w:rPr>
                <w:rFonts w:ascii="Arial" w:hAnsi="Arial" w:cs="Arial"/>
                <w:b/>
                <w:bCs/>
                <w:noProof/>
                <w:sz w:val="20"/>
                <w:szCs w:val="20"/>
                <w:lang w:val="id-ID"/>
              </w:rPr>
              <w:fldChar w:fldCharType="separate"/>
            </w:r>
            <w:r w:rsidR="00B1345C" w:rsidRPr="0088306E">
              <w:rPr>
                <w:rFonts w:ascii="Arial" w:hAnsi="Arial" w:cs="Arial"/>
                <w:b/>
                <w:noProof/>
                <w:sz w:val="20"/>
                <w:szCs w:val="20"/>
                <w:lang w:val="id-ID"/>
              </w:rPr>
              <w:t>(Badan</w:t>
            </w:r>
            <w:r w:rsidR="00B1345C" w:rsidRPr="00B1345C">
              <w:rPr>
                <w:rFonts w:ascii="Arial" w:hAnsi="Arial" w:cs="Arial"/>
                <w:bCs/>
                <w:noProof/>
                <w:sz w:val="20"/>
                <w:szCs w:val="20"/>
                <w:lang w:val="id-ID"/>
              </w:rPr>
              <w:t xml:space="preserve"> </w:t>
            </w:r>
            <w:r w:rsidR="00B1345C" w:rsidRPr="0088306E">
              <w:rPr>
                <w:rFonts w:ascii="Arial" w:hAnsi="Arial" w:cs="Arial"/>
                <w:b/>
                <w:noProof/>
                <w:sz w:val="20"/>
                <w:szCs w:val="20"/>
                <w:lang w:val="id-ID"/>
              </w:rPr>
              <w:t>Pusat Statistik Republik Indonesia, 2024)</w:t>
            </w:r>
            <w:r w:rsidRPr="00E45CA6">
              <w:rPr>
                <w:rFonts w:ascii="Arial" w:hAnsi="Arial" w:cs="Arial"/>
                <w:b/>
                <w:bCs/>
                <w:noProof/>
                <w:sz w:val="20"/>
                <w:szCs w:val="20"/>
                <w:lang w:val="id-ID"/>
              </w:rPr>
              <w:fldChar w:fldCharType="end"/>
            </w:r>
          </w:p>
        </w:tc>
        <w:tc>
          <w:tcPr>
            <w:tcW w:w="1440" w:type="dxa"/>
            <w:tcBorders>
              <w:top w:val="single" w:sz="4" w:space="0" w:color="auto"/>
              <w:bottom w:val="single" w:sz="4" w:space="0" w:color="auto"/>
            </w:tcBorders>
            <w:hideMark/>
          </w:tcPr>
          <w:p w14:paraId="094204C8" w14:textId="77777777" w:rsidR="009A5C88" w:rsidRPr="00E45CA6" w:rsidRDefault="009A5C88" w:rsidP="00E45CA6">
            <w:pPr>
              <w:jc w:val="center"/>
              <w:rPr>
                <w:rFonts w:ascii="Arial" w:hAnsi="Arial" w:cs="Arial"/>
                <w:b/>
                <w:bCs/>
                <w:noProof/>
                <w:sz w:val="20"/>
                <w:szCs w:val="20"/>
                <w:lang w:val="id-ID"/>
              </w:rPr>
            </w:pPr>
            <w:r w:rsidRPr="00E45CA6">
              <w:rPr>
                <w:rFonts w:ascii="Arial" w:hAnsi="Arial" w:cs="Arial"/>
                <w:b/>
                <w:bCs/>
                <w:noProof/>
                <w:sz w:val="20"/>
                <w:szCs w:val="20"/>
                <w:lang w:val="id-ID"/>
              </w:rPr>
              <w:t xml:space="preserve">Dampak Lingkungan </w:t>
            </w:r>
          </w:p>
        </w:tc>
      </w:tr>
      <w:tr w:rsidR="009A5C88" w:rsidRPr="00E45CA6" w14:paraId="238C0B19" w14:textId="77777777" w:rsidTr="0088306E">
        <w:tc>
          <w:tcPr>
            <w:tcW w:w="1440" w:type="dxa"/>
            <w:tcBorders>
              <w:top w:val="single" w:sz="4" w:space="0" w:color="auto"/>
            </w:tcBorders>
            <w:hideMark/>
          </w:tcPr>
          <w:p w14:paraId="4AFDBFE1"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Perubahan Tutupan Lahan</w:t>
            </w:r>
          </w:p>
        </w:tc>
        <w:tc>
          <w:tcPr>
            <w:tcW w:w="1260" w:type="dxa"/>
            <w:tcBorders>
              <w:top w:val="single" w:sz="4" w:space="0" w:color="auto"/>
            </w:tcBorders>
            <w:hideMark/>
          </w:tcPr>
          <w:p w14:paraId="03B6FA0D"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Total tutupan kelapa sawit 16,83 juta ha (</w:t>
            </w:r>
            <w:r w:rsidRPr="00E45CA6">
              <w:rPr>
                <w:rFonts w:ascii="Arial" w:hAnsi="Arial" w:cs="Arial"/>
                <w:i/>
                <w:iCs/>
                <w:noProof/>
                <w:sz w:val="20"/>
                <w:szCs w:val="20"/>
                <w:lang w:val="id-ID"/>
              </w:rPr>
              <w:t>land cover</w:t>
            </w:r>
            <w:r w:rsidRPr="00E45CA6">
              <w:rPr>
                <w:rFonts w:ascii="Arial" w:hAnsi="Arial" w:cs="Arial"/>
                <w:noProof/>
                <w:sz w:val="20"/>
                <w:szCs w:val="20"/>
                <w:lang w:val="id-ID"/>
              </w:rPr>
              <w:t xml:space="preserve">) dengan 15,93 juta ha sudah </w:t>
            </w:r>
            <w:r w:rsidRPr="00E45CA6">
              <w:rPr>
                <w:rFonts w:ascii="Arial" w:hAnsi="Arial" w:cs="Arial"/>
                <w:i/>
                <w:iCs/>
                <w:noProof/>
                <w:sz w:val="20"/>
                <w:szCs w:val="20"/>
                <w:lang w:val="id-ID"/>
              </w:rPr>
              <w:t>land use</w:t>
            </w:r>
            <w:r w:rsidRPr="00E45CA6">
              <w:rPr>
                <w:rFonts w:ascii="Arial" w:hAnsi="Arial" w:cs="Arial"/>
                <w:noProof/>
                <w:sz w:val="20"/>
                <w:szCs w:val="20"/>
                <w:lang w:val="id-ID"/>
              </w:rPr>
              <w:t xml:space="preserve"> sebagai perkebunan</w:t>
            </w:r>
          </w:p>
        </w:tc>
        <w:tc>
          <w:tcPr>
            <w:tcW w:w="1440" w:type="dxa"/>
            <w:tcBorders>
              <w:top w:val="single" w:sz="4" w:space="0" w:color="auto"/>
            </w:tcBorders>
            <w:hideMark/>
          </w:tcPr>
          <w:p w14:paraId="1DA37A00"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Konversi hutan primer/sekunder menjadi monokultur, menurunkan keanekaragaman hayati dan mengurangi jasa ekosistem.</w:t>
            </w:r>
          </w:p>
        </w:tc>
      </w:tr>
      <w:tr w:rsidR="009A5C88" w:rsidRPr="00E45CA6" w14:paraId="4937F5F9" w14:textId="77777777" w:rsidTr="0088306E">
        <w:tc>
          <w:tcPr>
            <w:tcW w:w="1440" w:type="dxa"/>
            <w:hideMark/>
          </w:tcPr>
          <w:p w14:paraId="4E92814B"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Sebaran Wilayah</w:t>
            </w:r>
          </w:p>
        </w:tc>
        <w:tc>
          <w:tcPr>
            <w:tcW w:w="1260" w:type="dxa"/>
            <w:hideMark/>
          </w:tcPr>
          <w:p w14:paraId="6576F176"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26 provinsi; terbesar Riau 3,40 juta ha, Kalimantan Tengah 2,04 juta ha</w:t>
            </w:r>
          </w:p>
        </w:tc>
        <w:tc>
          <w:tcPr>
            <w:tcW w:w="1440" w:type="dxa"/>
            <w:hideMark/>
          </w:tcPr>
          <w:p w14:paraId="1F1A2631"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Fragmentasi habitat satwa (misalnya  orangutan, harimau sumatra); memperbesar tekanan pada kawasan </w:t>
            </w:r>
            <w:r w:rsidRPr="00E45CA6">
              <w:rPr>
                <w:rFonts w:ascii="Arial" w:hAnsi="Arial" w:cs="Arial"/>
                <w:noProof/>
                <w:sz w:val="20"/>
                <w:szCs w:val="20"/>
                <w:lang w:val="id-ID"/>
              </w:rPr>
              <w:lastRenderedPageBreak/>
              <w:t>konservasi di Sumatra dan Kalimantan.</w:t>
            </w:r>
          </w:p>
        </w:tc>
      </w:tr>
      <w:tr w:rsidR="009A5C88" w:rsidRPr="00E45CA6" w14:paraId="3E5A8FFB" w14:textId="77777777" w:rsidTr="0088306E">
        <w:tc>
          <w:tcPr>
            <w:tcW w:w="1440" w:type="dxa"/>
            <w:hideMark/>
          </w:tcPr>
          <w:p w14:paraId="02E438F0"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lastRenderedPageBreak/>
              <w:t>Produksi Tinggi CPO</w:t>
            </w:r>
          </w:p>
        </w:tc>
        <w:tc>
          <w:tcPr>
            <w:tcW w:w="1260" w:type="dxa"/>
            <w:hideMark/>
          </w:tcPr>
          <w:p w14:paraId="0868FCBF"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47,08 juta ton CPO 2023</w:t>
            </w:r>
          </w:p>
        </w:tc>
        <w:tc>
          <w:tcPr>
            <w:tcW w:w="1440" w:type="dxa"/>
            <w:hideMark/>
          </w:tcPr>
          <w:p w14:paraId="3EB4EFA6"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Intensifikasi produksi meningkatkan penggunaan pupuk dan pestisida, menambah potensi pencemaran tanah dan air.</w:t>
            </w:r>
          </w:p>
        </w:tc>
      </w:tr>
      <w:tr w:rsidR="009A5C88" w:rsidRPr="00E45CA6" w14:paraId="4FFAAC14" w14:textId="77777777" w:rsidTr="0088306E">
        <w:tc>
          <w:tcPr>
            <w:tcW w:w="1440" w:type="dxa"/>
            <w:hideMark/>
          </w:tcPr>
          <w:p w14:paraId="33527530"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Ekspor Besar</w:t>
            </w:r>
          </w:p>
        </w:tc>
        <w:tc>
          <w:tcPr>
            <w:tcW w:w="1260" w:type="dxa"/>
            <w:hideMark/>
          </w:tcPr>
          <w:p w14:paraId="7D668694"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Ekspor 24,01 miliar US$ (2023)</w:t>
            </w:r>
          </w:p>
        </w:tc>
        <w:tc>
          <w:tcPr>
            <w:tcW w:w="1440" w:type="dxa"/>
            <w:hideMark/>
          </w:tcPr>
          <w:p w14:paraId="6145DB4B"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Mendorong ekspansi lahan baru untuk memenuhi permintaan global, meningkatkan risiko deforestasi lebih lanjut.</w:t>
            </w:r>
          </w:p>
        </w:tc>
      </w:tr>
      <w:tr w:rsidR="009A5C88" w:rsidRPr="00E45CA6" w14:paraId="34CC0E2E" w14:textId="77777777" w:rsidTr="0088306E">
        <w:tc>
          <w:tcPr>
            <w:tcW w:w="1440" w:type="dxa"/>
            <w:hideMark/>
          </w:tcPr>
          <w:p w14:paraId="5EA86151"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Penggunaan Lahan Gambut</w:t>
            </w:r>
          </w:p>
        </w:tc>
        <w:tc>
          <w:tcPr>
            <w:tcW w:w="1260" w:type="dxa"/>
            <w:hideMark/>
          </w:tcPr>
          <w:p w14:paraId="7CAA4966"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Luas perkebunan mencakup provinsi bergambut (Riau, Kalimantan Tengah, Papua)</w:t>
            </w:r>
          </w:p>
        </w:tc>
        <w:tc>
          <w:tcPr>
            <w:tcW w:w="1440" w:type="dxa"/>
            <w:hideMark/>
          </w:tcPr>
          <w:p w14:paraId="2BCEBA41"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Drainase gambut melepaskan emisi CO</w:t>
            </w:r>
            <w:r w:rsidRPr="00E45CA6">
              <w:rPr>
                <w:rFonts w:ascii="Cambria Math" w:hAnsi="Cambria Math" w:cs="Cambria Math"/>
                <w:noProof/>
                <w:sz w:val="20"/>
                <w:szCs w:val="20"/>
                <w:lang w:val="id-ID"/>
              </w:rPr>
              <w:t>₂</w:t>
            </w:r>
            <w:r w:rsidRPr="00E45CA6">
              <w:rPr>
                <w:rFonts w:ascii="Arial" w:hAnsi="Arial" w:cs="Arial"/>
                <w:noProof/>
                <w:sz w:val="20"/>
                <w:szCs w:val="20"/>
                <w:lang w:val="id-ID"/>
              </w:rPr>
              <w:t xml:space="preserve"> besar, meningkatkan kebakaran lahan dan kabut asap.</w:t>
            </w:r>
          </w:p>
        </w:tc>
      </w:tr>
      <w:tr w:rsidR="009A5C88" w:rsidRPr="00E45CA6" w14:paraId="3B7D9816" w14:textId="77777777" w:rsidTr="0088306E">
        <w:tc>
          <w:tcPr>
            <w:tcW w:w="1440" w:type="dxa"/>
            <w:tcBorders>
              <w:bottom w:val="single" w:sz="4" w:space="0" w:color="auto"/>
            </w:tcBorders>
            <w:hideMark/>
          </w:tcPr>
          <w:p w14:paraId="1348C7E4"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Ketergantungan pada Perkebunan Swasta</w:t>
            </w:r>
          </w:p>
        </w:tc>
        <w:tc>
          <w:tcPr>
            <w:tcW w:w="1260" w:type="dxa"/>
            <w:tcBorders>
              <w:bottom w:val="single" w:sz="4" w:space="0" w:color="auto"/>
            </w:tcBorders>
            <w:hideMark/>
          </w:tcPr>
          <w:p w14:paraId="6A292CC0"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54,08% areal dikuasai perkebunan besar swasta</w:t>
            </w:r>
          </w:p>
        </w:tc>
        <w:tc>
          <w:tcPr>
            <w:tcW w:w="1440" w:type="dxa"/>
            <w:tcBorders>
              <w:bottom w:val="single" w:sz="4" w:space="0" w:color="auto"/>
            </w:tcBorders>
            <w:hideMark/>
          </w:tcPr>
          <w:p w14:paraId="48A6A10F"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Skala industri besar dapat memicu pembukaan lahan masif jika tidak diawasi ketat; risiko degradasi tanah jangka panjang.</w:t>
            </w:r>
          </w:p>
        </w:tc>
      </w:tr>
    </w:tbl>
    <w:p w14:paraId="5C406373" w14:textId="77777777" w:rsidR="009A5C88" w:rsidRPr="009A5C88" w:rsidRDefault="009A5C88" w:rsidP="009A5C88">
      <w:pPr>
        <w:spacing w:after="0" w:line="360" w:lineRule="auto"/>
        <w:jc w:val="both"/>
        <w:rPr>
          <w:rFonts w:ascii="Arial" w:eastAsia="MS Mincho" w:hAnsi="Arial" w:cs="Arial"/>
          <w:b/>
          <w:bCs/>
          <w:noProof/>
          <w:sz w:val="24"/>
          <w:szCs w:val="24"/>
          <w:lang w:val="id-ID"/>
        </w:rPr>
      </w:pPr>
    </w:p>
    <w:p w14:paraId="2D341C5A" w14:textId="77777777" w:rsidR="009A5C88" w:rsidRPr="009A5C88" w:rsidRDefault="009A5C88" w:rsidP="009A5C88">
      <w:pPr>
        <w:pStyle w:val="ListParagraph"/>
        <w:numPr>
          <w:ilvl w:val="0"/>
          <w:numId w:val="2"/>
        </w:numPr>
        <w:tabs>
          <w:tab w:val="left" w:pos="360"/>
        </w:tabs>
        <w:spacing w:after="0" w:line="360" w:lineRule="auto"/>
        <w:ind w:hanging="720"/>
        <w:jc w:val="both"/>
        <w:rPr>
          <w:rFonts w:ascii="Arial" w:eastAsia="MS Mincho" w:hAnsi="Arial" w:cs="Arial"/>
          <w:b/>
          <w:bCs/>
          <w:noProof/>
          <w:sz w:val="24"/>
          <w:szCs w:val="24"/>
          <w:lang w:val="id-ID"/>
        </w:rPr>
      </w:pPr>
      <w:r w:rsidRPr="009A5C88">
        <w:rPr>
          <w:rFonts w:ascii="Arial" w:eastAsia="MS Mincho" w:hAnsi="Arial" w:cs="Arial"/>
          <w:b/>
          <w:bCs/>
          <w:noProof/>
          <w:sz w:val="24"/>
          <w:szCs w:val="24"/>
          <w:lang w:val="id-ID"/>
        </w:rPr>
        <w:t>Dampak Sosial dan Ekonomi</w:t>
      </w:r>
    </w:p>
    <w:p w14:paraId="43307FE9" w14:textId="7635944C" w:rsidR="009A5C88" w:rsidRPr="009A5C88" w:rsidRDefault="009A5C88" w:rsidP="009A5C88">
      <w:pPr>
        <w:spacing w:after="0" w:line="360" w:lineRule="auto"/>
        <w:ind w:firstLine="540"/>
        <w:jc w:val="both"/>
        <w:rPr>
          <w:rFonts w:ascii="Arial" w:hAnsi="Arial" w:cs="Arial"/>
          <w:noProof/>
          <w:sz w:val="24"/>
          <w:szCs w:val="24"/>
          <w:lang w:val="id-ID"/>
        </w:rPr>
      </w:pPr>
      <w:r w:rsidRPr="009A5C88">
        <w:rPr>
          <w:rFonts w:ascii="Arial" w:hAnsi="Arial" w:cs="Arial"/>
          <w:noProof/>
          <w:sz w:val="24"/>
          <w:szCs w:val="24"/>
          <w:lang w:val="id-ID"/>
        </w:rPr>
        <w:t xml:space="preserve">Sektor sawit menyumbang lapangan kerja dan pendapatan bagi jutaan orang, khususnya petani skala kecil. Di banyak komunitas, sawit menjadi tulang punggung ekonomi </w:t>
      </w:r>
      <w:r w:rsidRPr="009A5C88">
        <w:rPr>
          <w:rFonts w:ascii="Arial" w:hAnsi="Arial" w:cs="Arial"/>
          <w:noProof/>
          <w:sz w:val="24"/>
          <w:szCs w:val="24"/>
          <w:lang w:val="id-ID"/>
        </w:rPr>
        <w:t xml:space="preserve">lokal, sehingga kebijakan pengaturan ketat atau pembatasan lahan akan memengaruhi mata pencaharian masyarakat. Namun, distribusi manfaat seringkali timpang. Perusahaan besar menguasai konsesi luas sementara petani kecil menghadapi tantangan akses modal, sertifikasi, dan harga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{"citationItems":[{"id":"ITEM-1","itemData":{"DOI":"10.47134/jebmi.v2i3.638","abstract":"This study analyzed the prosperity paradox arising from palm oil production in Indonesia, with a focus on its impact on rural poverty. Despite the industry’s significant contribution to economic growth, many smallholder farmers and local communities remain trapped in poverty. Using a Systematic Literature Review (SLR) method, the study comprehensively identifies and synthesizes relevant evidence on this issue. The findings show that while the palm oil sector creates jobs and increases incomes for some, inequities in the distribution of benefits, limited access to resources, and adverse environmental impacts are significant barriers to smallholder well-being. The conclusion from this study shows that there is a need for greater attention from the Indonesian government to improve smallholder well-being and ensure environmental sustainability in the palm oil industry through inclusive policies. Recommendations include increased support to develop farmer capacity and protection of local community rights. With these steps, it is hoped that the benefits of the palm oil industry can be felt more equitably by all parties involved.","author":[{"dropping-particle":"","family":"Ikhsan","given":"Ikhsan","non-dropping-particle":"","parse-names":false,"suffix":""},{"dropping-particle":"","family":"Hajad","given":"Vellayati","non-dropping-particle":"","parse-names":false,"suffix":""},{"dropping-particle":"","family":"Maulida","given":"Irham","non-dropping-particle":"","parse-names":false,"suffix":""}],"container-title":"Journal of Economics, Bussiness and Management Issues","id":"ITEM-1","issue":"3","issued":{"date-parts":[["2025"]]},"page":"273-286","title":"Paradoks Kemakmuran: Mengungkap Dampak Produksi Kelapa Sawit terhadap Kemiskinan di Pedesaan Indonesia","type":"article-journal","volume":"2"},"uris":["http://www.mendeley.com/documents/?uuid=91eaca6b-9107-49ee-ad96-d45f41dcc8a3"]}],"mendeley":{"formattedCitation":"(Ikhsan, Hajad, &amp; Maulida, 2025)","plainTextFormattedCitation":"(Ikhsan, Hajad, &amp; Maulida, 2025)","previouslyFormattedCitation":"(Ikhsan, Hajad, and Maulida 2025)"},"properties":{"noteIndex":0},"schema":"https://github.com/citation-style-language/schema/raw/master/csl-citation.json"}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(Ikhsan, Hajad, &amp; Maulida, 2025)</w:t>
      </w:r>
      <w:r w:rsidRPr="009A5C88">
        <w:rPr>
          <w:rFonts w:ascii="Arial" w:hAnsi="Arial" w:cs="Arial"/>
          <w:noProof/>
          <w:sz w:val="24"/>
          <w:szCs w:val="24"/>
          <w:lang w:val="id-ID"/>
        </w:rPr>
        <w:fldChar w:fldCharType="end"/>
      </w:r>
      <w:r w:rsidRPr="009A5C88">
        <w:rPr>
          <w:rFonts w:ascii="Arial" w:hAnsi="Arial" w:cs="Arial"/>
          <w:noProof/>
          <w:sz w:val="24"/>
          <w:szCs w:val="24"/>
          <w:lang w:val="id-ID"/>
        </w:rPr>
        <w:t>. Dari sudut keadilan distributif, perlu intervensi kebijakan yang menjamin akses sumber daya dan remunerasi yang adil bagi petani lokal. Isu hak atas tanah petani lokal dan konflik lahan menjadi masalah sosial yang menonjol. Banyak kasus menunjukkan adanya tumpang tindih izin konsesi dengan klaim tanah adat. Ketiadaan klaritas legal atau kepastian hukum membuka ruang bagi praktik pengambilan lahan secara sepihak (</w:t>
      </w:r>
      <w:r w:rsidRPr="009A5C88">
        <w:rPr>
          <w:rFonts w:ascii="Arial" w:hAnsi="Arial" w:cs="Arial"/>
          <w:i/>
          <w:iCs/>
          <w:noProof/>
          <w:sz w:val="24"/>
          <w:szCs w:val="24"/>
          <w:lang w:val="id-ID"/>
        </w:rPr>
        <w:t>land grabbing</w:t>
      </w:r>
      <w:r w:rsidRPr="009A5C88">
        <w:rPr>
          <w:rFonts w:ascii="Arial" w:hAnsi="Arial" w:cs="Arial"/>
          <w:noProof/>
          <w:sz w:val="24"/>
          <w:szCs w:val="24"/>
          <w:lang w:val="id-ID"/>
        </w:rPr>
        <w:t xml:space="preserve">) yang merugikan komunitas lokal dan menimbulkan konflik berkepanjangan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{"citationItems":[{"id":"ITEM-1","itemData":{"DOI":"10.55981/jmi.2024.8897","ISBN":"9786233212199","abstract":"… kelapa sawit di Indonesia sering muncul dari ketegangan … politisi untuk mencari dana melalui relasi dengan perusahaan. … Prosedur hukum yang berbelit-belit dan birokrasi yang …","author":[{"dropping-particle":"","family":"Hafsari","given":"Tria Anggita","non-dropping-particle":"","parse-names":false,"suffix":""}],"container-title":"Jurnal Masyarakat Indonesia","id":"ITEM-1","issue":"2","issued":{"date-parts":[["2024"]]},"page":"335-344","title":"Di Balik Konflik Sawit yang Tak Kunjung Usai: Hak, Kuasa, dan Kehidupan Masyarakat Lokal","type":"article-journal","volume":"50"},"uris":["http://www.mendeley.com/documents/?uuid=83baa61c-81cd-4a46-8709-b2e06f4ddc41"]}],"mendeley":{"formattedCitation":"(Hafsari, 2024)","plainTextFormattedCitation":"(Hafsari, 2024)","previouslyFormattedCitation":"(Hafsari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(Hafsari, 2024)</w:t>
      </w:r>
      <w:r w:rsidRPr="009A5C88">
        <w:rPr>
          <w:rFonts w:ascii="Arial" w:hAnsi="Arial" w:cs="Arial"/>
          <w:noProof/>
          <w:sz w:val="24"/>
          <w:szCs w:val="24"/>
          <w:lang w:val="id-ID"/>
        </w:rPr>
        <w:fldChar w:fldCharType="end"/>
      </w:r>
      <w:r w:rsidRPr="009A5C88">
        <w:rPr>
          <w:rFonts w:ascii="Arial" w:hAnsi="Arial" w:cs="Arial"/>
          <w:noProof/>
          <w:sz w:val="24"/>
          <w:szCs w:val="24"/>
          <w:lang w:val="id-ID"/>
        </w:rPr>
        <w:t>.</w:t>
      </w:r>
    </w:p>
    <w:p w14:paraId="36A7F7F8" w14:textId="77777777" w:rsidR="009A5C88" w:rsidRPr="009A5C88" w:rsidRDefault="009A5C88" w:rsidP="009A5C88">
      <w:pPr>
        <w:spacing w:after="0" w:line="360" w:lineRule="auto"/>
        <w:ind w:firstLine="540"/>
        <w:jc w:val="both"/>
        <w:rPr>
          <w:rFonts w:ascii="Arial" w:hAnsi="Arial" w:cs="Arial"/>
          <w:noProof/>
          <w:sz w:val="24"/>
          <w:szCs w:val="24"/>
          <w:lang w:val="id-ID"/>
        </w:rPr>
      </w:pPr>
    </w:p>
    <w:p w14:paraId="64E0B544" w14:textId="77777777" w:rsidR="009A5C88" w:rsidRPr="00E45CA6" w:rsidRDefault="009A5C88" w:rsidP="00E45CA6">
      <w:pPr>
        <w:tabs>
          <w:tab w:val="left" w:pos="7740"/>
        </w:tabs>
        <w:spacing w:after="0" w:line="240" w:lineRule="auto"/>
        <w:jc w:val="center"/>
        <w:rPr>
          <w:rFonts w:ascii="Arial" w:eastAsia="Times New Roman" w:hAnsi="Arial" w:cs="Arial"/>
          <w:b/>
          <w:bCs/>
          <w:iCs/>
          <w:noProof/>
          <w:sz w:val="20"/>
          <w:szCs w:val="20"/>
          <w:lang w:val="id-ID"/>
        </w:rPr>
      </w:pPr>
      <w:r w:rsidRPr="00E45CA6">
        <w:rPr>
          <w:rFonts w:ascii="Arial" w:eastAsia="Times New Roman" w:hAnsi="Arial" w:cs="Arial"/>
          <w:b/>
          <w:bCs/>
          <w:iCs/>
          <w:noProof/>
          <w:sz w:val="20"/>
          <w:szCs w:val="20"/>
          <w:lang w:val="id-ID"/>
        </w:rPr>
        <w:t>Tabel 3. Perkebunan sawit dan dampak sosial/ekonomi</w:t>
      </w:r>
    </w:p>
    <w:tbl>
      <w:tblPr>
        <w:tblStyle w:val="TableGrid"/>
        <w:tblW w:w="39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214"/>
        <w:gridCol w:w="1846"/>
      </w:tblGrid>
      <w:tr w:rsidR="00941341" w:rsidRPr="00E45CA6" w14:paraId="4EF5D238" w14:textId="77777777" w:rsidTr="008D7A3B">
        <w:tc>
          <w:tcPr>
            <w:tcW w:w="900" w:type="dxa"/>
            <w:hideMark/>
          </w:tcPr>
          <w:p w14:paraId="1B96D92F" w14:textId="77777777" w:rsidR="009A5C88" w:rsidRPr="00941341" w:rsidRDefault="009A5C88" w:rsidP="00E45CA6">
            <w:pPr>
              <w:jc w:val="center"/>
              <w:rPr>
                <w:rFonts w:ascii="Arial" w:hAnsi="Arial" w:cs="Arial"/>
                <w:b/>
                <w:bCs/>
                <w:noProof/>
                <w:sz w:val="20"/>
                <w:szCs w:val="20"/>
                <w:lang w:val="id-ID"/>
              </w:rPr>
            </w:pPr>
            <w:r w:rsidRPr="00941341">
              <w:rPr>
                <w:rFonts w:ascii="Arial" w:hAnsi="Arial" w:cs="Arial"/>
                <w:b/>
                <w:bCs/>
                <w:noProof/>
                <w:sz w:val="20"/>
                <w:szCs w:val="20"/>
                <w:lang w:val="id-ID"/>
              </w:rPr>
              <w:t>Aspek</w:t>
            </w:r>
          </w:p>
        </w:tc>
        <w:tc>
          <w:tcPr>
            <w:tcW w:w="1214" w:type="dxa"/>
            <w:hideMark/>
          </w:tcPr>
          <w:p w14:paraId="05168DA2" w14:textId="05416805" w:rsidR="009A5C88" w:rsidRPr="00941341" w:rsidRDefault="009A5C88" w:rsidP="00E45CA6">
            <w:pPr>
              <w:jc w:val="center"/>
              <w:rPr>
                <w:rFonts w:ascii="Arial" w:hAnsi="Arial" w:cs="Arial"/>
                <w:b/>
                <w:bCs/>
                <w:noProof/>
                <w:sz w:val="20"/>
                <w:szCs w:val="20"/>
                <w:lang w:val="id-ID"/>
              </w:rPr>
            </w:pPr>
            <w:r w:rsidRPr="00941341">
              <w:rPr>
                <w:rFonts w:ascii="Arial" w:hAnsi="Arial" w:cs="Arial"/>
                <w:b/>
                <w:bCs/>
                <w:noProof/>
                <w:sz w:val="20"/>
                <w:szCs w:val="20"/>
                <w:lang w:val="id-ID"/>
              </w:rPr>
              <w:t xml:space="preserve">Data </w:t>
            </w:r>
            <w:r w:rsidRPr="00941341">
              <w:rPr>
                <w:rFonts w:ascii="Arial" w:hAnsi="Arial" w:cs="Arial"/>
                <w:b/>
                <w:bCs/>
                <w:noProof/>
                <w:sz w:val="20"/>
                <w:szCs w:val="20"/>
                <w:lang w:val="id-ID"/>
              </w:rPr>
              <w:fldChar w:fldCharType="begin" w:fldLock="1"/>
            </w:r>
            <w:r w:rsidR="00B1345C" w:rsidRPr="00941341">
              <w:rPr>
                <w:rFonts w:ascii="Arial" w:hAnsi="Arial" w:cs="Arial"/>
                <w:b/>
                <w:bCs/>
                <w:noProof/>
                <w:sz w:val="20"/>
                <w:szCs w:val="20"/>
                <w:lang w:val="id-ID"/>
              </w:rPr>
              <w:instrText>ADDIN CSL_CITATION {"citationItems":[{"id":"ITEM-1","itemData":{"author":[{"dropping-particle":"","family":"Badan Pusat Statistik Republik Indonesia","given":"","non-dropping-particle":"","parse-names":false,"suffix":""}],"id":"ITEM-1","issued":{"date-parts":[["2024"]]},"number-of-pages":"1-160","publisher-place":"Jakarta","title":"Indonesia oil palm statistics","type":"book","volume":"17"},"uris":["http://www.mendeley.com/documents/?uuid=f275cfc0-ba04-4311-b67a-ae90c2b97c14"]}],"mendeley":{"formattedCitation":"(Badan Pusat Statistik Republik Indonesia, 2024)","plainTextFormattedCitation":"(Badan Pusat Statistik Republik Indonesia, 2024)","previouslyFormattedCitation":"(Badan Pusat Statistik Republik Indonesia 2024)"},"properties":{"noteIndex":0},"schema":"https://github.com/citation-style-language/schema/raw/master/csl-citation.json"}</w:instrText>
            </w:r>
            <w:r w:rsidRPr="00941341">
              <w:rPr>
                <w:rFonts w:ascii="Arial" w:hAnsi="Arial" w:cs="Arial"/>
                <w:b/>
                <w:bCs/>
                <w:noProof/>
                <w:sz w:val="20"/>
                <w:szCs w:val="20"/>
                <w:lang w:val="id-ID"/>
              </w:rPr>
              <w:fldChar w:fldCharType="separate"/>
            </w:r>
            <w:r w:rsidR="00B1345C" w:rsidRPr="00941341">
              <w:rPr>
                <w:rFonts w:ascii="Arial" w:hAnsi="Arial" w:cs="Arial"/>
                <w:b/>
                <w:bCs/>
                <w:noProof/>
                <w:sz w:val="20"/>
                <w:szCs w:val="20"/>
                <w:lang w:val="id-ID"/>
              </w:rPr>
              <w:t>(Badan Pusat Statistik Republik Indonesia, 2024)</w:t>
            </w:r>
            <w:r w:rsidRPr="00941341">
              <w:rPr>
                <w:rFonts w:ascii="Arial" w:hAnsi="Arial" w:cs="Arial"/>
                <w:b/>
                <w:bCs/>
                <w:noProof/>
                <w:sz w:val="20"/>
                <w:szCs w:val="20"/>
                <w:lang w:val="id-ID"/>
              </w:rPr>
              <w:fldChar w:fldCharType="end"/>
            </w:r>
          </w:p>
        </w:tc>
        <w:tc>
          <w:tcPr>
            <w:tcW w:w="1846" w:type="dxa"/>
            <w:hideMark/>
          </w:tcPr>
          <w:p w14:paraId="4D44441C" w14:textId="77777777" w:rsidR="009A5C88" w:rsidRPr="00941341" w:rsidRDefault="009A5C88" w:rsidP="00E45CA6">
            <w:pPr>
              <w:jc w:val="center"/>
              <w:rPr>
                <w:rFonts w:ascii="Arial" w:hAnsi="Arial" w:cs="Arial"/>
                <w:b/>
                <w:bCs/>
                <w:noProof/>
                <w:sz w:val="20"/>
                <w:szCs w:val="20"/>
                <w:lang w:val="id-ID"/>
              </w:rPr>
            </w:pPr>
            <w:r w:rsidRPr="00941341">
              <w:rPr>
                <w:rFonts w:ascii="Arial" w:hAnsi="Arial" w:cs="Arial"/>
                <w:b/>
                <w:bCs/>
                <w:noProof/>
                <w:sz w:val="20"/>
                <w:szCs w:val="20"/>
                <w:lang w:val="id-ID"/>
              </w:rPr>
              <w:t>Dampak Sosial/Ekonomi Utama</w:t>
            </w:r>
          </w:p>
        </w:tc>
      </w:tr>
      <w:tr w:rsidR="00941341" w:rsidRPr="00E45CA6" w14:paraId="0BC3B4D1" w14:textId="77777777" w:rsidTr="008D7A3B">
        <w:tc>
          <w:tcPr>
            <w:tcW w:w="900" w:type="dxa"/>
            <w:hideMark/>
          </w:tcPr>
          <w:p w14:paraId="478E8556"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Kontribusi ke PDB </w:t>
            </w:r>
            <w:r w:rsidRPr="00E45CA6">
              <w:rPr>
                <w:rFonts w:ascii="Arial" w:hAnsi="Arial" w:cs="Arial"/>
                <w:noProof/>
                <w:sz w:val="20"/>
                <w:szCs w:val="20"/>
                <w:lang w:val="id-ID"/>
              </w:rPr>
              <w:lastRenderedPageBreak/>
              <w:t>Nasional</w:t>
            </w:r>
          </w:p>
        </w:tc>
        <w:tc>
          <w:tcPr>
            <w:tcW w:w="1214" w:type="dxa"/>
            <w:hideMark/>
          </w:tcPr>
          <w:p w14:paraId="419E09A9"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lastRenderedPageBreak/>
              <w:t xml:space="preserve">Sektor pertanian 12,53% </w:t>
            </w:r>
            <w:r w:rsidRPr="00E45CA6">
              <w:rPr>
                <w:rFonts w:ascii="Arial" w:hAnsi="Arial" w:cs="Arial"/>
                <w:noProof/>
                <w:sz w:val="20"/>
                <w:szCs w:val="20"/>
                <w:lang w:val="id-ID"/>
              </w:rPr>
              <w:lastRenderedPageBreak/>
              <w:t>PDB 2023; subsektor perkebunan 3,88% PDB dan 30,97% sektor pertanian</w:t>
            </w:r>
          </w:p>
        </w:tc>
        <w:tc>
          <w:tcPr>
            <w:tcW w:w="1846" w:type="dxa"/>
            <w:hideMark/>
          </w:tcPr>
          <w:p w14:paraId="66E574EE"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lastRenderedPageBreak/>
              <w:t xml:space="preserve">Menjadi sumber devisa dan pajak; memperkuat </w:t>
            </w:r>
            <w:r w:rsidRPr="00E45CA6">
              <w:rPr>
                <w:rFonts w:ascii="Arial" w:hAnsi="Arial" w:cs="Arial"/>
                <w:noProof/>
                <w:sz w:val="20"/>
                <w:szCs w:val="20"/>
                <w:lang w:val="id-ID"/>
              </w:rPr>
              <w:lastRenderedPageBreak/>
              <w:t>ketahanan ekonomi nasional.</w:t>
            </w:r>
          </w:p>
        </w:tc>
      </w:tr>
      <w:tr w:rsidR="00941341" w:rsidRPr="00E45CA6" w14:paraId="2ED42F2F" w14:textId="77777777" w:rsidTr="008D7A3B">
        <w:tc>
          <w:tcPr>
            <w:tcW w:w="900" w:type="dxa"/>
            <w:hideMark/>
          </w:tcPr>
          <w:p w14:paraId="6DFC6E0B"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lastRenderedPageBreak/>
              <w:t>Luas Areal</w:t>
            </w:r>
          </w:p>
        </w:tc>
        <w:tc>
          <w:tcPr>
            <w:tcW w:w="1214" w:type="dxa"/>
            <w:hideMark/>
          </w:tcPr>
          <w:p w14:paraId="08169E13"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15,93 juta ha (2023), tersebar di 26 provinsi; 54,08% dikuasai perkebunan swasta, 42,29% rakyat, 3,63% negara</w:t>
            </w:r>
          </w:p>
        </w:tc>
        <w:tc>
          <w:tcPr>
            <w:tcW w:w="1846" w:type="dxa"/>
            <w:hideMark/>
          </w:tcPr>
          <w:p w14:paraId="66BAFEF7"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Lapangan kerja luas, baik tenaga tetap maupun musiman; potensi konflik lahan dengan masyarakat adat.</w:t>
            </w:r>
          </w:p>
        </w:tc>
      </w:tr>
      <w:tr w:rsidR="00941341" w:rsidRPr="00E45CA6" w14:paraId="24777D17" w14:textId="77777777" w:rsidTr="008D7A3B">
        <w:tc>
          <w:tcPr>
            <w:tcW w:w="900" w:type="dxa"/>
            <w:hideMark/>
          </w:tcPr>
          <w:p w14:paraId="1D22F5AB"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Produksi CPO</w:t>
            </w:r>
          </w:p>
        </w:tc>
        <w:tc>
          <w:tcPr>
            <w:tcW w:w="1214" w:type="dxa"/>
            <w:hideMark/>
          </w:tcPr>
          <w:p w14:paraId="6137618F"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47,08 juta ton (2023); Riau 9,22 juta ton (19,6% nasional)</w:t>
            </w:r>
          </w:p>
        </w:tc>
        <w:tc>
          <w:tcPr>
            <w:tcW w:w="1846" w:type="dxa"/>
            <w:hideMark/>
          </w:tcPr>
          <w:p w14:paraId="24A68CE2"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Sumber bahan baku industri domestik (makanan, oleokimia, biodiesel); mendorong pembangunan infrastruktur desa.</w:t>
            </w:r>
          </w:p>
        </w:tc>
      </w:tr>
      <w:tr w:rsidR="00941341" w:rsidRPr="00E45CA6" w14:paraId="2B7975FC" w14:textId="77777777" w:rsidTr="008D7A3B">
        <w:tc>
          <w:tcPr>
            <w:tcW w:w="900" w:type="dxa"/>
            <w:hideMark/>
          </w:tcPr>
          <w:p w14:paraId="17069DAB"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Ekspor</w:t>
            </w:r>
          </w:p>
        </w:tc>
        <w:tc>
          <w:tcPr>
            <w:tcW w:w="1214" w:type="dxa"/>
            <w:hideMark/>
          </w:tcPr>
          <w:p w14:paraId="73DB7971"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Nilai ekspor 24,01 miliar US$ (turun 19,29% dari 2022)</w:t>
            </w:r>
          </w:p>
        </w:tc>
        <w:tc>
          <w:tcPr>
            <w:tcW w:w="1846" w:type="dxa"/>
            <w:hideMark/>
          </w:tcPr>
          <w:p w14:paraId="45CED977"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Devisa besar bagi negara; sensitivitas tinggi pada fluktuasi harga global menimbulkan risiko pendapatan petani.</w:t>
            </w:r>
          </w:p>
        </w:tc>
      </w:tr>
      <w:tr w:rsidR="00941341" w:rsidRPr="00E45CA6" w14:paraId="5FD115E4" w14:textId="77777777" w:rsidTr="008D7A3B">
        <w:tc>
          <w:tcPr>
            <w:tcW w:w="900" w:type="dxa"/>
            <w:tcBorders>
              <w:bottom w:val="nil"/>
            </w:tcBorders>
            <w:hideMark/>
          </w:tcPr>
          <w:p w14:paraId="6DB01086"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Impor</w:t>
            </w:r>
          </w:p>
        </w:tc>
        <w:tc>
          <w:tcPr>
            <w:tcW w:w="1214" w:type="dxa"/>
            <w:tcBorders>
              <w:bottom w:val="nil"/>
            </w:tcBorders>
            <w:hideMark/>
          </w:tcPr>
          <w:p w14:paraId="1676C591"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0,76 ribu ton (2023)</w:t>
            </w:r>
          </w:p>
        </w:tc>
        <w:tc>
          <w:tcPr>
            <w:tcW w:w="1846" w:type="dxa"/>
            <w:tcBorders>
              <w:bottom w:val="nil"/>
            </w:tcBorders>
            <w:hideMark/>
          </w:tcPr>
          <w:p w14:paraId="6585F9E8"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Kecil; menegaskan posisi Indonesia sebagai produsen dan pengekspor utama dunia.</w:t>
            </w:r>
          </w:p>
        </w:tc>
      </w:tr>
      <w:tr w:rsidR="00941341" w:rsidRPr="00E45CA6" w14:paraId="495B4466" w14:textId="77777777" w:rsidTr="008D7A3B">
        <w:tc>
          <w:tcPr>
            <w:tcW w:w="900" w:type="dxa"/>
            <w:tcBorders>
              <w:top w:val="nil"/>
              <w:bottom w:val="nil"/>
            </w:tcBorders>
            <w:hideMark/>
          </w:tcPr>
          <w:p w14:paraId="7341B925"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Distribusi Kepemilikan</w:t>
            </w:r>
          </w:p>
        </w:tc>
        <w:tc>
          <w:tcPr>
            <w:tcW w:w="1214" w:type="dxa"/>
            <w:tcBorders>
              <w:top w:val="nil"/>
              <w:bottom w:val="nil"/>
            </w:tcBorders>
            <w:hideMark/>
          </w:tcPr>
          <w:p w14:paraId="3B68C12B"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Perkebunan rakyat 6,74 juta ha</w:t>
            </w:r>
          </w:p>
        </w:tc>
        <w:tc>
          <w:tcPr>
            <w:tcW w:w="1846" w:type="dxa"/>
            <w:tcBorders>
              <w:top w:val="nil"/>
              <w:bottom w:val="nil"/>
            </w:tcBorders>
            <w:hideMark/>
          </w:tcPr>
          <w:p w14:paraId="3CC76ADC"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Pemberdayaan petani kecil dan koperasi; namun masih terdapat ketimpangan akses modal dan teknologi.</w:t>
            </w:r>
          </w:p>
        </w:tc>
      </w:tr>
      <w:tr w:rsidR="00941341" w:rsidRPr="00E45CA6" w14:paraId="15AAAF41" w14:textId="77777777" w:rsidTr="008D7A3B">
        <w:tc>
          <w:tcPr>
            <w:tcW w:w="900" w:type="dxa"/>
            <w:tcBorders>
              <w:top w:val="nil"/>
            </w:tcBorders>
            <w:hideMark/>
          </w:tcPr>
          <w:p w14:paraId="4D5BEC06"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Lapangan Kerja</w:t>
            </w:r>
          </w:p>
        </w:tc>
        <w:tc>
          <w:tcPr>
            <w:tcW w:w="1214" w:type="dxa"/>
            <w:tcBorders>
              <w:top w:val="nil"/>
            </w:tcBorders>
            <w:hideMark/>
          </w:tcPr>
          <w:p w14:paraId="5A7A7C64"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Umumnya &gt;16 juta tenaga kerja langsung dan tidak langsung</w:t>
            </w:r>
          </w:p>
        </w:tc>
        <w:tc>
          <w:tcPr>
            <w:tcW w:w="1846" w:type="dxa"/>
            <w:tcBorders>
              <w:top w:val="nil"/>
            </w:tcBorders>
            <w:hideMark/>
          </w:tcPr>
          <w:p w14:paraId="2802FCD8"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Pengentasan kemiskinan pedesaan; tetapi isu upah layak, kondisi kerja, dan perlindungan buruh tetap </w:t>
            </w:r>
            <w:r w:rsidRPr="00E45CA6">
              <w:rPr>
                <w:rFonts w:ascii="Arial" w:hAnsi="Arial" w:cs="Arial"/>
                <w:noProof/>
                <w:sz w:val="20"/>
                <w:szCs w:val="20"/>
                <w:lang w:val="id-ID"/>
              </w:rPr>
              <w:t>menjadi tantangan.</w:t>
            </w:r>
          </w:p>
        </w:tc>
      </w:tr>
    </w:tbl>
    <w:p w14:paraId="501220B6" w14:textId="77777777" w:rsidR="009A5C88" w:rsidRPr="009A5C88" w:rsidRDefault="009A5C88" w:rsidP="009A5C88">
      <w:pPr>
        <w:tabs>
          <w:tab w:val="left" w:pos="7740"/>
        </w:tabs>
        <w:spacing w:after="0" w:line="360" w:lineRule="auto"/>
        <w:rPr>
          <w:rFonts w:ascii="Arial" w:eastAsia="Times New Roman" w:hAnsi="Arial" w:cs="Arial"/>
          <w:iCs/>
          <w:noProof/>
          <w:sz w:val="24"/>
          <w:szCs w:val="24"/>
          <w:lang w:val="id-ID"/>
        </w:rPr>
      </w:pPr>
    </w:p>
    <w:p w14:paraId="627DC6A0" w14:textId="77777777" w:rsidR="009A5C88" w:rsidRPr="009A5C88" w:rsidRDefault="009A5C88" w:rsidP="009A5C88">
      <w:pPr>
        <w:pStyle w:val="ListParagraph"/>
        <w:numPr>
          <w:ilvl w:val="0"/>
          <w:numId w:val="2"/>
        </w:numPr>
        <w:spacing w:after="160" w:line="360" w:lineRule="auto"/>
        <w:ind w:left="360"/>
        <w:rPr>
          <w:rFonts w:ascii="Arial" w:eastAsia="MS Mincho" w:hAnsi="Arial" w:cs="Arial"/>
          <w:b/>
          <w:bCs/>
          <w:noProof/>
          <w:sz w:val="24"/>
          <w:szCs w:val="24"/>
          <w:lang w:val="id-ID"/>
        </w:rPr>
      </w:pPr>
      <w:r w:rsidRPr="009A5C88">
        <w:rPr>
          <w:rFonts w:ascii="Arial" w:eastAsia="MS Mincho" w:hAnsi="Arial" w:cs="Arial"/>
          <w:b/>
          <w:bCs/>
          <w:noProof/>
          <w:sz w:val="24"/>
          <w:szCs w:val="24"/>
          <w:lang w:val="id-ID"/>
        </w:rPr>
        <w:t>Analisis Filsafat Lingkungan</w:t>
      </w:r>
    </w:p>
    <w:p w14:paraId="0E39C02B" w14:textId="18EB624C" w:rsidR="009A5C88" w:rsidRPr="009A5C88" w:rsidRDefault="009A5C88" w:rsidP="009A5C88">
      <w:pPr>
        <w:pStyle w:val="ListParagraph"/>
        <w:numPr>
          <w:ilvl w:val="0"/>
          <w:numId w:val="3"/>
        </w:numPr>
        <w:spacing w:after="0" w:line="360" w:lineRule="auto"/>
        <w:jc w:val="both"/>
        <w:rPr>
          <w:rFonts w:ascii="Arial" w:hAnsi="Arial" w:cs="Arial"/>
          <w:noProof/>
          <w:sz w:val="24"/>
          <w:szCs w:val="24"/>
          <w:lang w:val="id-ID"/>
        </w:rPr>
      </w:pPr>
      <w:r w:rsidRPr="009A5C88">
        <w:rPr>
          <w:rFonts w:ascii="Arial" w:hAnsi="Arial" w:cs="Arial"/>
          <w:i/>
          <w:iCs/>
          <w:noProof/>
          <w:sz w:val="24"/>
          <w:szCs w:val="24"/>
          <w:lang w:val="id-ID"/>
        </w:rPr>
        <w:t>Deep ecology</w:t>
      </w:r>
      <w:r w:rsidRPr="009A5C88">
        <w:rPr>
          <w:rFonts w:ascii="Arial" w:hAnsi="Arial" w:cs="Arial"/>
          <w:noProof/>
          <w:sz w:val="24"/>
          <w:szCs w:val="24"/>
          <w:lang w:val="id-ID"/>
        </w:rPr>
        <w:t xml:space="preserve"> menantang pandangan antroposentris yang menempatkan kepentingan manusia di atas alam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{"citationItems":[{"id":"ITEM-1","itemData":{"DOI":"10.69668/josep.v2i1.77","ISSN":"3062-9438","abstract":"Human survival with the existing ecosystem is experiencing imbalance. With data on increasing environmental damage as a call for all organizations to share the spirit of deep ecology which in this PkM is based on Ecotheology with the aim of fostering ecological awareness of the congregation through an ecotheological approach based on the Bible which takes place at GBI My Home Tanjung Uban. The activity was carried out by a team where lecturers and students from the Real Batam Theological College on April 26, 2025 as devotees. The method used is participatory education with a combination of counseling, theological discussions and direct practice of arranging church yards. The results of the activity showed an increase in the congregation's understanding of the relationship between faith and the environment, changes in mindset towards nature, and active involvement in maintaining the cleanliness and beauty of the worship space. So it can be concluded that the environment and faith are one in respecting the ecosystem as a creation in divine nature as a call for the spirit of natural balance and arrangement and continuity of life that coexist.\r Abstrak\r Keberlangsungan hidup manusia dengan ekosistem yang ada tengah mengalami ketimpangan. Dengan data yang kerusakan alam yang semankin meningkat sebagai seruan bagi semua organisasi untuk membagikan semangat deep ecology yang dalam PkM ini berpijak pada Ekoteologi dengan tujuan untuk menumbuhkan kesadaran ekologis jemaat melalui pendekatan ekoteologi yang berlandaskan Alkitab yang bertempat di GBI My Home Tanjung Uban. Kegiatan dilaksanakan oleh tim dimana dosen dan mahasiswa dari Sekolah Tinggi Teologi Real Batam pada tanggal 26 April 2025 sebagai pengabdi. Metode yang digunakan adalah edukasi partisipatif dengan kombinasi penyuluhan, diskusi teologis dan praktik langsung menata pekarangan gereja. Hasil kegiatan menunjukkan adanya peningkatan pemahaman jemaat terhadap hubungan antara iman dan lingkungan, perubahan pola pikir terhadap alam, serta keterlibatan aktif dalam menjaga kebersihan dan keindahan ruang ibadah. Maka dapat disimpulkan bahwa lingkungan dan iman adalah satu kesatuan dalam menghormati ekosistem sebagai ciptaan dalam kodrat ilahi sebagai seruan akan semangat keseimbangan alam dan penataan dan kelangsungan hidup yang berdampingan.\r  ","author":[{"dropping-particle":"","family":"Pasaribu","given":"Jabes","non-dropping-particle":"","parse-names":false,"suffix":""},{"dropping-particle":"","family":"Tambunan","given":"Elia","non-dropping-particle":"","parse-names":false,"suffix":""},{"dropping-particle":"","family":"Prasetya","given":"Didimus Sutanto B.","non-dropping-particle":"","parse-names":false,"suffix":""},{"dropping-particle":"","family":"Lahagu","given":"Ardianto","non-dropping-particle":"","parse-names":false,"suffix":""}],"container-title":"Journal Of Society Empowerment Publications","id":"ITEM-1","issue":"1","issued":{"date-parts":[["2025"]]},"page":"35-47","title":"Lingkungan dan Iman: Edukasi Deep Ecology dalam Perspektif Ekoteologi di GBI My Home Tanjung Uban","type":"article-journal","volume":"2"},"uris":["http://www.mendeley.com/documents/?uuid=d556e4f1-2319-4749-82fe-835ef6ee72f9"]}],"mendeley":{"formattedCitation":"(Pasaribu, Tambunan, Prasetya, &amp; Lahagu, 2025)","plainTextFormattedCitation":"(Pasaribu, Tambunan, Prasetya, &amp; Lahagu, 2025)","previouslyFormattedCitation":"(Pasaribu et al. 2025)"},"properties":{"noteIndex":0},"schema":"https://github.com/citation-style-language/schema/raw/master/csl-citation.json"}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(Pasaribu, Tambunan, Prasetya, &amp; Lahagu, 2025)</w:t>
      </w:r>
      <w:r w:rsidRPr="009A5C88">
        <w:rPr>
          <w:rFonts w:ascii="Arial" w:hAnsi="Arial" w:cs="Arial"/>
          <w:noProof/>
          <w:sz w:val="24"/>
          <w:szCs w:val="24"/>
          <w:lang w:val="id-ID"/>
        </w:rPr>
        <w:fldChar w:fldCharType="end"/>
      </w:r>
      <w:r w:rsidRPr="009A5C88">
        <w:rPr>
          <w:rFonts w:ascii="Arial" w:hAnsi="Arial" w:cs="Arial"/>
          <w:noProof/>
          <w:sz w:val="24"/>
          <w:szCs w:val="24"/>
          <w:lang w:val="id-ID"/>
        </w:rPr>
        <w:t>. Dari perspektif ini, ekspansi sawit yang merusak ekosistem utama harus dinilai tidak hanya berdasarkan manfaat ekonomi, tetapi juga kehilangan nilai-instrinsik alam dan hak-hak habitat untuk eksistensi.</w:t>
      </w:r>
    </w:p>
    <w:p w14:paraId="588DF581" w14:textId="420983F3" w:rsidR="009A5C88" w:rsidRPr="009A5C88" w:rsidRDefault="009A5C88" w:rsidP="009A5C88">
      <w:pPr>
        <w:pStyle w:val="ListParagraph"/>
        <w:numPr>
          <w:ilvl w:val="0"/>
          <w:numId w:val="3"/>
        </w:numPr>
        <w:spacing w:after="0" w:line="360" w:lineRule="auto"/>
        <w:jc w:val="both"/>
        <w:rPr>
          <w:rFonts w:ascii="Arial" w:hAnsi="Arial" w:cs="Arial"/>
          <w:noProof/>
          <w:sz w:val="24"/>
          <w:szCs w:val="24"/>
          <w:lang w:val="id-ID"/>
        </w:rPr>
      </w:pPr>
      <w:r w:rsidRPr="009A5C88">
        <w:rPr>
          <w:rFonts w:ascii="Arial" w:hAnsi="Arial" w:cs="Arial"/>
          <w:i/>
          <w:iCs/>
          <w:noProof/>
          <w:sz w:val="24"/>
          <w:szCs w:val="24"/>
          <w:lang w:val="id-ID"/>
        </w:rPr>
        <w:t xml:space="preserve">Ecofeminism </w:t>
      </w:r>
      <w:r w:rsidRPr="009A5C88">
        <w:rPr>
          <w:rFonts w:ascii="Arial" w:hAnsi="Arial" w:cs="Arial"/>
          <w:noProof/>
          <w:sz w:val="24"/>
          <w:szCs w:val="24"/>
          <w:lang w:val="id-ID"/>
        </w:rPr>
        <w:t xml:space="preserve">menyorot relasi antara eksploitasi alam dan marginalisasi kelompok tertentu, termasuk perempuan dan komunitas adat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{"citationItems":[{"id":"ITEM-1","itemData":{"abstract":"… Program yang diberi nama MIFEE atau Merauke Integrated Food and Energy Estate ini memiliki perbedaan di konseptualisasinya. Program ini menerapkan konsep globalisasi …","author":[{"dropping-particle":"","family":"Abrilian","given":"A G P","non-dropping-particle":"","parse-names":false,"suffix":""}],"container-title":"Jejak digital: Jurnal Ilmiah Multidisiplin","id":"ITEM-1","issue":"4","issued":{"date-parts":[["2025"]]},"page":"1919-1928","title":"Analisis Problematika Program Food Estate di Era Menteri Pertahanan Prabowo Subianto dalam Perspektif Ekofeminisme","type":"article-journal","volume":"1"},"uris":["http://www.mendeley.com/documents/?uuid=94cae1c8-fddb-47e7-b7f1-b2ff6d6b11b9"]}],"mendeley":{"formattedCitation":"(Abrilian, 2025)","plainTextFormattedCitation":"(Abrilian, 2025)","previouslyFormattedCitation":"(Abrilian 2025)"},"properties":{"noteIndex":0},"schema":"https://github.com/citation-style-language/schema/raw/master/csl-citation.json"}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(Abrilian, 2025)</w:t>
      </w:r>
      <w:r w:rsidRPr="009A5C88">
        <w:rPr>
          <w:rFonts w:ascii="Arial" w:hAnsi="Arial" w:cs="Arial"/>
          <w:noProof/>
          <w:sz w:val="24"/>
          <w:szCs w:val="24"/>
          <w:lang w:val="id-ID"/>
        </w:rPr>
        <w:fldChar w:fldCharType="end"/>
      </w:r>
      <w:r w:rsidRPr="009A5C88">
        <w:rPr>
          <w:rFonts w:ascii="Arial" w:hAnsi="Arial" w:cs="Arial"/>
          <w:noProof/>
          <w:sz w:val="24"/>
          <w:szCs w:val="24"/>
          <w:lang w:val="id-ID"/>
        </w:rPr>
        <w:t>.  Dalam banyak konteks sawit, perempuan sering kali menanggung beban ekologis akibat perusakan sumber daya lokal sekaligus memiliki peran penting dalam pengelolaan rumah tangga dan produksi pangan.</w:t>
      </w:r>
    </w:p>
    <w:p w14:paraId="5910456E" w14:textId="3855E6C9" w:rsidR="009A5C88" w:rsidRPr="009A5C88" w:rsidRDefault="009A5C88" w:rsidP="009A5C88">
      <w:pPr>
        <w:pStyle w:val="ListParagraph"/>
        <w:numPr>
          <w:ilvl w:val="0"/>
          <w:numId w:val="3"/>
        </w:numPr>
        <w:spacing w:after="0" w:line="360" w:lineRule="auto"/>
        <w:jc w:val="both"/>
        <w:rPr>
          <w:rFonts w:ascii="Arial" w:hAnsi="Arial" w:cs="Arial"/>
          <w:noProof/>
          <w:sz w:val="24"/>
          <w:szCs w:val="24"/>
          <w:lang w:val="id-ID"/>
        </w:rPr>
      </w:pPr>
      <w:r w:rsidRPr="009A5C88">
        <w:rPr>
          <w:rFonts w:ascii="Arial" w:hAnsi="Arial" w:cs="Arial"/>
          <w:noProof/>
          <w:sz w:val="24"/>
          <w:szCs w:val="24"/>
          <w:lang w:val="id-ID"/>
        </w:rPr>
        <w:t xml:space="preserve">Etika lingkungan berbasis keadilan intergenerasional menuntut agar keputusan saat ini mempertimbangkan hak </w:t>
      </w:r>
      <w:r w:rsidRPr="009A5C88">
        <w:rPr>
          <w:rFonts w:ascii="Arial" w:hAnsi="Arial" w:cs="Arial"/>
          <w:noProof/>
          <w:sz w:val="24"/>
          <w:szCs w:val="24"/>
          <w:lang w:val="id-ID"/>
        </w:rPr>
        <w:lastRenderedPageBreak/>
        <w:t xml:space="preserve">generasi mendatang untuk menikmati lingkungan yang sehat seperti kebijakan izin konsesi dan pemulihan lahan gambut harus mempertimbangkan prinsip ini agar pembangunan tidak mengorbankan masa depan ekologis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{"citationItems":[{"id":"ITEM-1","itemData":{"DOI":"10.35784/preko.6834","ISSN":"20801971","abstract":"Contemporary environmental ethics is confronted with a dual dilemma, namely the tension between theoretical and practical considerations. In response, scholars have pursued a variety of avenues, with the practice-oriented approach emerging as the dominant trend. The practice of environmental ethics can be analyzed according to two paradigms: the applied ethics paradigm and the practical ethics paradigm. Both paradigms suggest the possibility of a certain kind of sustainability ethics, namely the development of traditional environmental ethics into a public, applied sustainability ethics. In other words, the advancement of traditional environmental ethics, which is theoretically superior, into a form of public and applied sustainability ethics may prove an effective means of addressing the current challenges facing environmental ethics.","author":[{"dropping-particle":"","family":"Du","given":"Hong","non-dropping-particle":"","parse-names":false,"suffix":""}],"container-title":"Problemy Ekorozwoju","id":"ITEM-1","issue":"1","issued":{"date-parts":[["2025"]]},"page":"6-14","title":"From Environmental Ethics to Sustainability Ethics","type":"article-journal","volume":"20"},"uris":["http://www.mendeley.com/documents/?uuid=81fb7d1a-4b6e-431c-bb74-df1b559a3f8f"]}],"mendeley":{"formattedCitation":"(Du, 2025)","plainTextFormattedCitation":"(Du, 2025)","previouslyFormattedCitation":"(Du 2025)"},"properties":{"noteIndex":0},"schema":"https://github.com/citation-style-language/schema/raw/master/csl-citation.json"}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(Du, 2025)</w:t>
      </w:r>
      <w:r w:rsidRPr="009A5C88">
        <w:rPr>
          <w:rFonts w:ascii="Arial" w:hAnsi="Arial" w:cs="Arial"/>
          <w:noProof/>
          <w:sz w:val="24"/>
          <w:szCs w:val="24"/>
          <w:lang w:val="id-ID"/>
        </w:rPr>
        <w:fldChar w:fldCharType="end"/>
      </w:r>
      <w:r w:rsidRPr="009A5C88">
        <w:rPr>
          <w:rFonts w:ascii="Arial" w:hAnsi="Arial" w:cs="Arial"/>
          <w:noProof/>
          <w:sz w:val="24"/>
          <w:szCs w:val="24"/>
          <w:lang w:val="id-ID"/>
        </w:rPr>
        <w:t>. Selanjutnya, perkebunan sawit dapat dianalisis dengan teori antroposentrisme lemah (</w:t>
      </w:r>
      <w:r w:rsidRPr="009A5C88">
        <w:rPr>
          <w:rFonts w:ascii="Arial" w:hAnsi="Arial" w:cs="Arial"/>
          <w:i/>
          <w:iCs/>
          <w:noProof/>
          <w:sz w:val="24"/>
          <w:szCs w:val="24"/>
          <w:lang w:val="id-ID"/>
        </w:rPr>
        <w:t>weak anthropocentrism)</w:t>
      </w:r>
      <w:r w:rsidRPr="009A5C88">
        <w:rPr>
          <w:rFonts w:ascii="Arial" w:hAnsi="Arial" w:cs="Arial"/>
          <w:noProof/>
          <w:sz w:val="24"/>
          <w:szCs w:val="24"/>
          <w:lang w:val="id-ID"/>
        </w:rPr>
        <w:t xml:space="preserve"> berakar dari etika lingkungan modern yang dikembangkan terutama oleh filsuf lingkungan Bryan G. Norton pada awal 1980-an. Dalam perspektif antroposentrisme lemah, pelestarian lingkungan di sektor sawit dilakukan demi keberlangsungan kesejahteraan manusia sendiri meliputi ekonomi, kesehatan, dan generasi mendatang, bukan hanya  karena alam dianggap memiliki nilai intrinsik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{"citationItems":[{"id":"ITEM-1","itemData":{"DOI":"10.23887/jfi.v8i2.88217","ISSN":"2620-7990","abstract":"Global environmental crises, such as global warming, ecosystem degradation, and biodiversity loss, demonstrate the limitations of the anthropocentric approach that focuses on human interests in managing nature. As an alternative, biocentrism and ecocentrism offer a more inclusive view by emphasizing the intrinsic value of living things and the importance of maintaining the integrity of the ecosystem as a whole. This article uses a literature review method to explore the basic principles, differences, and relevance of these two approaches in dealing with the environmental crisis in the era of anthropocentrism. Through the identification, analysis, and synthesis of various current literatures, this article is expected to provide insight into how biocentrism and ecocentrism can contribute to more sustainable environmental policy updates. The results show that the implementation of biocentrism and ecocentrism views has been carried out in various countries. Indonesia, Bhutan, Costa Rica, and Nepal are some examples of countries that apply the biocentric view in formulating some of their policies. Ecuador, Australia, South Africa, and India are examples of countries that apply the ecocentric view in formulating some of their policies. This implementation replaces the anthropocentric view that has dominated environmental policy for centuries. This policy certainly supports the preservation, protection, and balance of the ecosystem.","author":[{"dropping-particle":"","family":"Priyono","given":"Bagus Budi","non-dropping-particle":"","parse-names":false,"suffix":""},{"dropping-particle":"","family":"Purwantara","given":"Suhadi","non-dropping-particle":"","parse-names":false,"suffix":""},{"dropping-particle":"","family":"Widyastuti","given":"Widyastuti","non-dropping-particle":"","parse-names":false,"suffix":""}],"container-title":"Jurnal Filsafat Indonesia","id":"ITEM-1","issue":"2","issued":{"date-parts":[["2025"]]},"page":"280-290","title":"Biosentrisme dan Ekosentrisme: Alternatif Pandangan Filsafat Lingkungan terhadap Krisis Alam di Era Antroposentrisme","type":"article-journal","volume":"8"},"uris":["http://www.mendeley.com/documents/?uuid=2c8acd8d-ea7f-4314-92ae-bf4c36ab81f3"]}],"mendeley":{"formattedCitation":"(Priyono et al., 2025)","plainTextFormattedCitation":"(Priyono et al., 2025)","previouslyFormattedCitation":"(Priyono, Purwantara, and Widyastuti 2025)"},"properties":{"noteIndex":0},"schema":"https://github.com/citation-style-language/schema/raw/master/csl-citation.json"}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(Priyono et al., 2025)</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w:t>
      </w:r>
    </w:p>
    <w:p w14:paraId="6044788E" w14:textId="77777777" w:rsidR="009A5C88" w:rsidRPr="009A5C88" w:rsidRDefault="009A5C88" w:rsidP="009A5C88">
      <w:pPr>
        <w:spacing w:after="0" w:line="360" w:lineRule="auto"/>
        <w:ind w:left="360"/>
        <w:jc w:val="both"/>
        <w:rPr>
          <w:rFonts w:ascii="Arial" w:hAnsi="Arial" w:cs="Arial"/>
          <w:noProof/>
          <w:sz w:val="24"/>
          <w:szCs w:val="24"/>
          <w:lang w:val="id-ID"/>
        </w:rPr>
      </w:pPr>
    </w:p>
    <w:p w14:paraId="3DD1D97F" w14:textId="77777777" w:rsidR="009A5C88" w:rsidRPr="00E45CA6" w:rsidRDefault="009A5C88" w:rsidP="00E45CA6">
      <w:pPr>
        <w:tabs>
          <w:tab w:val="left" w:pos="7740"/>
        </w:tabs>
        <w:spacing w:after="0" w:line="240" w:lineRule="auto"/>
        <w:jc w:val="center"/>
        <w:rPr>
          <w:rFonts w:ascii="Arial" w:eastAsia="Times New Roman" w:hAnsi="Arial" w:cs="Arial"/>
          <w:b/>
          <w:bCs/>
          <w:iCs/>
          <w:noProof/>
          <w:sz w:val="20"/>
          <w:szCs w:val="20"/>
          <w:lang w:val="id-ID"/>
        </w:rPr>
      </w:pPr>
      <w:r w:rsidRPr="00E45CA6">
        <w:rPr>
          <w:rFonts w:ascii="Arial" w:eastAsia="Times New Roman" w:hAnsi="Arial" w:cs="Arial"/>
          <w:b/>
          <w:bCs/>
          <w:iCs/>
          <w:noProof/>
          <w:sz w:val="20"/>
          <w:szCs w:val="20"/>
          <w:lang w:val="id-ID"/>
        </w:rPr>
        <w:t>Tabel 4. Alliran filsafat dan implikasi terhadap perkebunan sawit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967"/>
      </w:tblGrid>
      <w:tr w:rsidR="009A5C88" w:rsidRPr="00E45CA6" w14:paraId="58901983" w14:textId="77777777" w:rsidTr="00440F9D">
        <w:tc>
          <w:tcPr>
            <w:tcW w:w="0" w:type="auto"/>
            <w:tcBorders>
              <w:top w:val="single" w:sz="4" w:space="0" w:color="auto"/>
              <w:bottom w:val="single" w:sz="4" w:space="0" w:color="auto"/>
            </w:tcBorders>
            <w:hideMark/>
          </w:tcPr>
          <w:p w14:paraId="3691A4EB" w14:textId="77777777" w:rsidR="009A5C88" w:rsidRPr="00E45CA6" w:rsidRDefault="009A5C88" w:rsidP="00E45CA6">
            <w:pPr>
              <w:jc w:val="center"/>
              <w:rPr>
                <w:rFonts w:ascii="Arial" w:hAnsi="Arial" w:cs="Arial"/>
                <w:b/>
                <w:bCs/>
                <w:noProof/>
                <w:sz w:val="20"/>
                <w:szCs w:val="20"/>
                <w:lang w:val="id-ID"/>
              </w:rPr>
            </w:pPr>
            <w:r w:rsidRPr="00E45CA6">
              <w:rPr>
                <w:rFonts w:ascii="Arial" w:hAnsi="Arial" w:cs="Arial"/>
                <w:b/>
                <w:bCs/>
                <w:noProof/>
                <w:sz w:val="20"/>
                <w:szCs w:val="20"/>
                <w:lang w:val="id-ID"/>
              </w:rPr>
              <w:t>Aliran Filsafat</w:t>
            </w:r>
          </w:p>
        </w:tc>
        <w:tc>
          <w:tcPr>
            <w:tcW w:w="0" w:type="auto"/>
            <w:tcBorders>
              <w:top w:val="single" w:sz="4" w:space="0" w:color="auto"/>
              <w:bottom w:val="single" w:sz="4" w:space="0" w:color="auto"/>
            </w:tcBorders>
            <w:hideMark/>
          </w:tcPr>
          <w:p w14:paraId="0C70A5AA" w14:textId="77777777" w:rsidR="009A5C88" w:rsidRPr="00E45CA6" w:rsidRDefault="009A5C88" w:rsidP="00E45CA6">
            <w:pPr>
              <w:jc w:val="center"/>
              <w:rPr>
                <w:rFonts w:ascii="Arial" w:hAnsi="Arial" w:cs="Arial"/>
                <w:b/>
                <w:bCs/>
                <w:noProof/>
                <w:sz w:val="20"/>
                <w:szCs w:val="20"/>
                <w:lang w:val="id-ID"/>
              </w:rPr>
            </w:pPr>
            <w:r w:rsidRPr="00E45CA6">
              <w:rPr>
                <w:rFonts w:ascii="Arial" w:hAnsi="Arial" w:cs="Arial"/>
                <w:b/>
                <w:bCs/>
                <w:noProof/>
                <w:sz w:val="20"/>
                <w:szCs w:val="20"/>
                <w:lang w:val="id-ID"/>
              </w:rPr>
              <w:t>Implikasi terhadap Kasus Sawit</w:t>
            </w:r>
          </w:p>
        </w:tc>
      </w:tr>
      <w:tr w:rsidR="009A5C88" w:rsidRPr="00E45CA6" w14:paraId="1448F600" w14:textId="77777777" w:rsidTr="00440F9D">
        <w:tc>
          <w:tcPr>
            <w:tcW w:w="0" w:type="auto"/>
            <w:tcBorders>
              <w:top w:val="single" w:sz="4" w:space="0" w:color="auto"/>
            </w:tcBorders>
            <w:hideMark/>
          </w:tcPr>
          <w:p w14:paraId="2B2F9D9E"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Ekosentrisme/</w:t>
            </w:r>
            <w:r w:rsidRPr="00E45CA6">
              <w:rPr>
                <w:rFonts w:ascii="Arial" w:hAnsi="Arial" w:cs="Arial"/>
                <w:i/>
                <w:iCs/>
                <w:noProof/>
                <w:sz w:val="20"/>
                <w:szCs w:val="20"/>
                <w:lang w:val="id-ID"/>
              </w:rPr>
              <w:t>Deep Ecology</w:t>
            </w:r>
          </w:p>
        </w:tc>
        <w:tc>
          <w:tcPr>
            <w:tcW w:w="0" w:type="auto"/>
            <w:tcBorders>
              <w:top w:val="single" w:sz="4" w:space="0" w:color="auto"/>
            </w:tcBorders>
            <w:hideMark/>
          </w:tcPr>
          <w:p w14:paraId="5CBE86DF"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 xml:space="preserve">Hutan dan spesies memiliki nilai </w:t>
            </w:r>
            <w:r w:rsidRPr="00E45CA6">
              <w:rPr>
                <w:rFonts w:ascii="Arial" w:hAnsi="Arial" w:cs="Arial"/>
                <w:noProof/>
                <w:sz w:val="20"/>
                <w:szCs w:val="20"/>
                <w:lang w:val="id-ID"/>
              </w:rPr>
              <w:t>intrinsik, terlepas dari kegunaan ekonominya. Konversi yang mengancam keberlanjutan ekosistem dipandang sebagai pelanggaran moral, bukan sekadar masalah teknis.</w:t>
            </w:r>
          </w:p>
        </w:tc>
      </w:tr>
      <w:tr w:rsidR="009A5C88" w:rsidRPr="00E45CA6" w14:paraId="25877260" w14:textId="77777777" w:rsidTr="00440F9D">
        <w:tc>
          <w:tcPr>
            <w:tcW w:w="0" w:type="auto"/>
            <w:hideMark/>
          </w:tcPr>
          <w:p w14:paraId="4E12216F"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Hak-hak non-manusia (</w:t>
            </w:r>
            <w:r w:rsidRPr="00E45CA6">
              <w:rPr>
                <w:rFonts w:ascii="Arial" w:hAnsi="Arial" w:cs="Arial"/>
                <w:i/>
                <w:iCs/>
                <w:noProof/>
                <w:sz w:val="20"/>
                <w:szCs w:val="20"/>
                <w:lang w:val="id-ID"/>
              </w:rPr>
              <w:t>Animal Rights and  Biocentrism</w:t>
            </w:r>
            <w:r w:rsidRPr="00E45CA6">
              <w:rPr>
                <w:rFonts w:ascii="Arial" w:hAnsi="Arial" w:cs="Arial"/>
                <w:noProof/>
                <w:sz w:val="20"/>
                <w:szCs w:val="20"/>
                <w:lang w:val="id-ID"/>
              </w:rPr>
              <w:t>)</w:t>
            </w:r>
          </w:p>
        </w:tc>
        <w:tc>
          <w:tcPr>
            <w:tcW w:w="0" w:type="auto"/>
            <w:hideMark/>
          </w:tcPr>
          <w:p w14:paraId="28998B73"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Spesies seperti orangutan atau harimau memiliki hak hidup dan berkembang biak. Kehilangan habitat berarti melanggar hak-hak tersebut.</w:t>
            </w:r>
          </w:p>
        </w:tc>
      </w:tr>
      <w:tr w:rsidR="009A5C88" w:rsidRPr="00E45CA6" w14:paraId="00ED6607" w14:textId="77777777" w:rsidTr="00440F9D">
        <w:tc>
          <w:tcPr>
            <w:tcW w:w="0" w:type="auto"/>
            <w:tcBorders>
              <w:bottom w:val="single" w:sz="4" w:space="0" w:color="auto"/>
            </w:tcBorders>
            <w:hideMark/>
          </w:tcPr>
          <w:p w14:paraId="583B9E2C"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Antroposentrisme lemah</w:t>
            </w:r>
          </w:p>
        </w:tc>
        <w:tc>
          <w:tcPr>
            <w:tcW w:w="0" w:type="auto"/>
            <w:tcBorders>
              <w:bottom w:val="single" w:sz="4" w:space="0" w:color="auto"/>
            </w:tcBorders>
            <w:hideMark/>
          </w:tcPr>
          <w:p w14:paraId="022FDAE6" w14:textId="77777777" w:rsidR="009A5C88" w:rsidRPr="00E45CA6" w:rsidRDefault="009A5C88" w:rsidP="00E45CA6">
            <w:pPr>
              <w:jc w:val="both"/>
              <w:rPr>
                <w:rFonts w:ascii="Arial" w:hAnsi="Arial" w:cs="Arial"/>
                <w:noProof/>
                <w:sz w:val="20"/>
                <w:szCs w:val="20"/>
                <w:lang w:val="id-ID"/>
              </w:rPr>
            </w:pPr>
            <w:r w:rsidRPr="00E45CA6">
              <w:rPr>
                <w:rFonts w:ascii="Arial" w:hAnsi="Arial" w:cs="Arial"/>
                <w:noProof/>
                <w:sz w:val="20"/>
                <w:szCs w:val="20"/>
                <w:lang w:val="id-ID"/>
              </w:rPr>
              <w:t>Meski fokus pada kepentingan manusia, aliran ini menekankan bahwa merusak ekosistem pada akhirnya merugikan manusia (iklim, air bersih, bencana alam).</w:t>
            </w:r>
          </w:p>
        </w:tc>
      </w:tr>
    </w:tbl>
    <w:p w14:paraId="2E6FBE10" w14:textId="77777777" w:rsidR="009A5C88" w:rsidRPr="009A5C88" w:rsidRDefault="009A5C88" w:rsidP="009A5C88">
      <w:pPr>
        <w:spacing w:line="360" w:lineRule="auto"/>
        <w:rPr>
          <w:rFonts w:ascii="Arial" w:eastAsia="MS Mincho" w:hAnsi="Arial" w:cs="Arial"/>
          <w:b/>
          <w:bCs/>
          <w:noProof/>
          <w:sz w:val="24"/>
          <w:szCs w:val="24"/>
          <w:lang w:val="id-ID"/>
        </w:rPr>
      </w:pPr>
    </w:p>
    <w:p w14:paraId="0FDB3A09" w14:textId="77777777" w:rsidR="009A5C88" w:rsidRPr="009A5C88" w:rsidRDefault="009A5C88" w:rsidP="009A5C88">
      <w:pPr>
        <w:pStyle w:val="ListParagraph"/>
        <w:numPr>
          <w:ilvl w:val="0"/>
          <w:numId w:val="2"/>
        </w:numPr>
        <w:spacing w:after="160" w:line="360" w:lineRule="auto"/>
        <w:ind w:left="360"/>
        <w:rPr>
          <w:rFonts w:ascii="Arial" w:eastAsia="MS Mincho" w:hAnsi="Arial" w:cs="Arial"/>
          <w:b/>
          <w:bCs/>
          <w:noProof/>
          <w:sz w:val="24"/>
          <w:szCs w:val="24"/>
          <w:lang w:val="id-ID"/>
        </w:rPr>
      </w:pPr>
      <w:r w:rsidRPr="009A5C88">
        <w:rPr>
          <w:rFonts w:ascii="Arial" w:eastAsia="MS Mincho" w:hAnsi="Arial" w:cs="Arial"/>
          <w:b/>
          <w:bCs/>
          <w:noProof/>
          <w:sz w:val="24"/>
          <w:szCs w:val="24"/>
          <w:lang w:val="id-ID"/>
        </w:rPr>
        <w:t>Rekomendasi Kebijakan dan Praktik Berkelanjutan</w:t>
      </w:r>
    </w:p>
    <w:p w14:paraId="15360964" w14:textId="2A6581DE" w:rsidR="009A5C88" w:rsidRPr="00E45CA6" w:rsidRDefault="009A5C88" w:rsidP="00E45CA6">
      <w:pPr>
        <w:pStyle w:val="ListParagraph"/>
        <w:numPr>
          <w:ilvl w:val="0"/>
          <w:numId w:val="4"/>
        </w:numPr>
        <w:spacing w:after="0" w:line="360" w:lineRule="auto"/>
        <w:jc w:val="both"/>
        <w:rPr>
          <w:rFonts w:ascii="Arial" w:hAnsi="Arial" w:cs="Arial"/>
          <w:noProof/>
          <w:sz w:val="24"/>
          <w:szCs w:val="24"/>
          <w:lang w:val="id-ID"/>
        </w:rPr>
      </w:pPr>
      <w:r w:rsidRPr="009A5C88">
        <w:rPr>
          <w:rFonts w:ascii="Arial" w:hAnsi="Arial" w:cs="Arial"/>
          <w:noProof/>
          <w:sz w:val="24"/>
          <w:szCs w:val="24"/>
          <w:lang w:val="id-ID"/>
        </w:rPr>
        <w:t xml:space="preserve">Perkuat tata kelola dan transparansi izin konsesi lahan: publikasi peta konsesi lahan, audit independen, serta penegakan hukum terhadap konsesi lahan yang melanggar aturan lingkungan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{"citationItems":[{"id":"ITEM-1","itemData":{"DOI":"10.25134/savana.v1i2.146","abstract":"Abstract Forest fires caused by land clearing activities are a serious problem that threatens the ecosystem, public health, and the economy. Pollution and environmental damage in forest fire cases in Indonesia are serious problems. The purpose of this study was to determine and analyze the regulation and implementation of law enforcement against perpetrators of land clearing that cause forest fires. The research method used is normative juridical. The legal materials used are laws and regulations related to the environment and court decisions 205 / Pid.B / LH / 2023 / PN Kgn. The results of the study are that law enforcement can be used as a rule to overcome environmental problems by referring to the Law on Environmental Management and Protection, the Law on Plantations, the Law on Prevention and Eradication of Forest Destruction. The law enforcement carried out is to impose a criminal sentence on the perpetrators to imprisonment for 10 (ten) months and a fine of IDR 30,000,000.00 (thirty million rupiah). Conclusion: The Indonesian Government continues to strengthen regulations and law enforcement to address this issue, although major challenges remain regarding law enforcement in the field and compliance of perpetrators with existing regulations. Suggestions include strengthening regulations and strict law enforcement, educating the public about the dangers of forest fires, and developing firefighting infrastructure. Collaboration between stakeholders is also important in this effort. It requires commitment to handling and preventing forest fires and also requires participation from all parties to continue to protect and preserve Indonesia's forests, in order to become useful provisions for future generations","author":[{"dropping-particle":"","family":"Sheebakayla","given":"Ratu","non-dropping-particle":"","parse-names":false,"suffix":""}],"container-title":"Savana: Indonesian Journal of Natural Resources and Environmental Law","id":"ITEM-1","issue":"2","issued":{"date-parts":[["2024"]]},"page":"133-144","title":"Penegakan Hukum terhadap Pelaku Pembukaan Lahan yang Menyebabkan Kebakaran Hutan","type":"article-journal","volume":"1"},"uris":["http://www.mendeley.com/documents/?uuid=33e0bc50-87db-4c12-87ce-30f9a4ac0f7b"]}],"mendeley":{"formattedCitation":"(Sheebakayla, 2024)","plainTextFormattedCitation":"(Sheebakayla, 2024)","previouslyFormattedCitation":"(Sheebakayla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(Sheebakayla,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Dalam perspektif hukum, publikasi peta konsesi dan data perizinan merupakan perwujudan prinsip </w:t>
      </w:r>
      <w:r w:rsidRPr="009A5C88">
        <w:rPr>
          <w:rFonts w:ascii="Arial" w:hAnsi="Arial" w:cs="Arial"/>
          <w:i/>
          <w:iCs/>
          <w:noProof/>
          <w:sz w:val="24"/>
          <w:szCs w:val="24"/>
          <w:lang w:val="id-ID"/>
        </w:rPr>
        <w:t>good governance</w:t>
      </w:r>
      <w:r w:rsidRPr="009A5C88">
        <w:rPr>
          <w:rFonts w:ascii="Arial" w:hAnsi="Arial" w:cs="Arial"/>
          <w:noProof/>
          <w:sz w:val="24"/>
          <w:szCs w:val="24"/>
          <w:lang w:val="id-ID"/>
        </w:rPr>
        <w:t xml:space="preserve"> yaitu transparansi </w:t>
      </w:r>
      <w:r w:rsidRPr="009A5C88">
        <w:rPr>
          <w:rFonts w:ascii="Arial" w:hAnsi="Arial" w:cs="Arial"/>
          <w:noProof/>
          <w:sz w:val="24"/>
          <w:szCs w:val="24"/>
          <w:lang w:val="id-ID"/>
        </w:rPr>
        <w:lastRenderedPageBreak/>
        <w:t>dan akuntabilitas yang diperlukan untuk mencegah konflik tumpang-tindih lahan dan pelanggaran lingkungan. Implementasi kebijakan spasial terpadu (</w:t>
      </w:r>
      <w:r w:rsidRPr="009A5C88">
        <w:rPr>
          <w:rFonts w:ascii="Arial" w:hAnsi="Arial" w:cs="Arial"/>
          <w:i/>
          <w:iCs/>
          <w:noProof/>
          <w:sz w:val="24"/>
          <w:szCs w:val="24"/>
          <w:lang w:val="id-ID"/>
        </w:rPr>
        <w:t>One Map Policy)</w:t>
      </w:r>
      <w:r w:rsidRPr="009A5C88">
        <w:rPr>
          <w:rFonts w:ascii="Arial" w:hAnsi="Arial" w:cs="Arial"/>
          <w:noProof/>
          <w:sz w:val="24"/>
          <w:szCs w:val="24"/>
          <w:lang w:val="id-ID"/>
        </w:rPr>
        <w:t xml:space="preserve"> dan integrasi data Hak Guna Usaha (HGU)</w:t>
      </w:r>
      <w:r w:rsidR="00B9551B">
        <w:rPr>
          <w:rFonts w:ascii="Arial" w:hAnsi="Arial" w:cs="Arial"/>
          <w:noProof/>
          <w:sz w:val="24"/>
          <w:szCs w:val="24"/>
          <w:lang w:val="id-ID"/>
        </w:rPr>
        <w:t xml:space="preserve">, </w:t>
      </w:r>
      <w:r w:rsidRPr="009A5C88">
        <w:rPr>
          <w:rFonts w:ascii="Arial" w:hAnsi="Arial" w:cs="Arial"/>
          <w:noProof/>
          <w:sz w:val="24"/>
          <w:szCs w:val="24"/>
          <w:lang w:val="id-ID"/>
        </w:rPr>
        <w:t>Izin Usaha Perkebunan (IUP)</w:t>
      </w:r>
      <w:r w:rsidR="00B9551B">
        <w:rPr>
          <w:rFonts w:ascii="Arial" w:hAnsi="Arial" w:cs="Arial"/>
          <w:noProof/>
          <w:sz w:val="24"/>
          <w:szCs w:val="24"/>
          <w:lang w:val="id-ID"/>
        </w:rPr>
        <w:t xml:space="preserve">,dan </w:t>
      </w:r>
      <w:r w:rsidRPr="009A5C88">
        <w:rPr>
          <w:rFonts w:ascii="Arial" w:hAnsi="Arial" w:cs="Arial"/>
          <w:noProof/>
          <w:sz w:val="24"/>
          <w:szCs w:val="24"/>
          <w:lang w:val="id-ID"/>
        </w:rPr>
        <w:t xml:space="preserve">izin pelepasan kawasan hutan memperkuat kepastian hukum bagi negara, perusahaan, dan masyarakat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{"citationItems":[{"id":"ITEM-1","itemData":{"author":[{"dropping-particle":"","family":"Amri","given":"La Ode","non-dropping-particle":"","parse-names":false,"suffix":""},{"dropping-particle":"","family":"Bariun","given":"La Ode","non-dropping-particle":"","parse-names":false,"suffix":""},{"dropping-particle":"","family":"Siregar","given":"Winner A.","non-dropping-particle":"","parse-names":false,"suffix":""},{"dropping-particle":"","family":"Hijriani","given":"","non-dropping-particle":"","parse-names":false,"suffix":""},{"dropping-particle":"","family":"Tolo","given":"Suriani Bt","non-dropping-particle":"","parse-names":false,"suffix":""},{"dropping-particle":"","family":"Munawir","given":"La Ode","non-dropping-particle":"","parse-names":false,"suffix":""}],"id":"ITEM-1","issue":"2","issued":{"date-parts":[["2024"]]},"page":"71-82","title":"Pengaruh Hukum Tumpang Tindih di Areal Perkebunan Terhadap Izin Usaha Pertambangan dari Perspektif Penerbitan Izin The","type":"article-journal","volume":"6"},"uris":["http://www.mendeley.com/documents/?uuid=2a60db7c-4510-472d-91a4-3d6dac4a9bca"]}],"mendeley":{"formattedCitation":"(Amri et al., 2024)","plainTextFormattedCitation":"(Amri et al., 2024)","previouslyFormattedCitation":"(Amri et al.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(Amri et al.,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Harmonisasi ini diperlukan agar aparat penegak dan publik tidak sulit melakukan verifikasi legalitas di lapangan. Oleh karena itu, rekomendasi</w:t>
      </w:r>
      <w:r w:rsidR="00B9551B">
        <w:rPr>
          <w:rFonts w:ascii="Arial" w:hAnsi="Arial" w:cs="Arial"/>
          <w:noProof/>
          <w:sz w:val="24"/>
          <w:szCs w:val="24"/>
          <w:lang w:val="id-ID"/>
        </w:rPr>
        <w:t xml:space="preserve"> </w:t>
      </w:r>
      <w:r w:rsidRPr="009A5C88">
        <w:rPr>
          <w:rFonts w:ascii="Arial" w:hAnsi="Arial" w:cs="Arial"/>
          <w:noProof/>
          <w:sz w:val="24"/>
          <w:szCs w:val="24"/>
          <w:lang w:val="id-ID"/>
        </w:rPr>
        <w:t>untuk mewajibkan publikasi peta konsesi yang terstandarisasi dan dapat diakses secara publik sejalan dengan praktik internasional yang menghubungkan transparansi spasial dengan pengurangan konflik dan korupsi dalam sektor agraria.</w:t>
      </w:r>
    </w:p>
    <w:p w14:paraId="5307175A" w14:textId="2848F9A0" w:rsidR="009A5C88" w:rsidRPr="00E45CA6" w:rsidRDefault="009A5C88" w:rsidP="00E45CA6">
      <w:pPr>
        <w:pStyle w:val="ListParagraph"/>
        <w:numPr>
          <w:ilvl w:val="0"/>
          <w:numId w:val="4"/>
        </w:numPr>
        <w:spacing w:after="0" w:line="360" w:lineRule="auto"/>
        <w:jc w:val="both"/>
        <w:rPr>
          <w:rFonts w:ascii="Arial" w:hAnsi="Arial" w:cs="Arial"/>
          <w:noProof/>
          <w:sz w:val="24"/>
          <w:szCs w:val="24"/>
          <w:lang w:val="id-ID"/>
        </w:rPr>
      </w:pPr>
      <w:r w:rsidRPr="009A5C88">
        <w:rPr>
          <w:rFonts w:ascii="Arial" w:hAnsi="Arial" w:cs="Arial"/>
          <w:noProof/>
          <w:sz w:val="24"/>
          <w:szCs w:val="24"/>
          <w:lang w:val="id-ID"/>
        </w:rPr>
        <w:t xml:space="preserve">Insentif untuk praktik berkelanjutan: dukungan finansial dan teknis untuk </w:t>
      </w:r>
      <w:r w:rsidRPr="009A5C88">
        <w:rPr>
          <w:rFonts w:ascii="Arial" w:hAnsi="Arial" w:cs="Arial"/>
          <w:i/>
          <w:iCs/>
          <w:noProof/>
          <w:sz w:val="24"/>
          <w:szCs w:val="24"/>
          <w:lang w:val="id-ID"/>
        </w:rPr>
        <w:t>rewetting</w:t>
      </w:r>
      <w:r w:rsidRPr="009A5C88">
        <w:rPr>
          <w:rFonts w:ascii="Arial" w:hAnsi="Arial" w:cs="Arial"/>
          <w:noProof/>
          <w:sz w:val="24"/>
          <w:szCs w:val="24"/>
          <w:lang w:val="id-ID"/>
        </w:rPr>
        <w:t xml:space="preserve"> gambut, wanatani,</w:t>
      </w:r>
      <w:r w:rsidRPr="009A5C88">
        <w:rPr>
          <w:rFonts w:ascii="Arial" w:hAnsi="Arial" w:cs="Arial"/>
          <w:i/>
          <w:iCs/>
          <w:noProof/>
          <w:sz w:val="24"/>
          <w:szCs w:val="24"/>
          <w:lang w:val="id-ID"/>
        </w:rPr>
        <w:t xml:space="preserve"> </w:t>
      </w:r>
      <w:r w:rsidRPr="009A5C88">
        <w:rPr>
          <w:rFonts w:ascii="Arial" w:hAnsi="Arial" w:cs="Arial"/>
          <w:noProof/>
          <w:sz w:val="24"/>
          <w:szCs w:val="24"/>
          <w:lang w:val="id-ID"/>
        </w:rPr>
        <w:t xml:space="preserve">dan sertifikasi sawit berkelanjutan (misalnya </w:t>
      </w:r>
      <w:r w:rsidRPr="009A5C88">
        <w:rPr>
          <w:rFonts w:ascii="Arial" w:hAnsi="Arial" w:cs="Arial"/>
          <w:i/>
          <w:iCs/>
          <w:noProof/>
          <w:sz w:val="24"/>
          <w:szCs w:val="24"/>
          <w:lang w:val="id-ID"/>
        </w:rPr>
        <w:t>Roundtable on Sustainable Palm Oil</w:t>
      </w:r>
      <w:r w:rsidRPr="009A5C88">
        <w:rPr>
          <w:rFonts w:ascii="Arial" w:hAnsi="Arial" w:cs="Arial"/>
          <w:noProof/>
          <w:sz w:val="24"/>
          <w:szCs w:val="24"/>
          <w:lang w:val="id-ID"/>
        </w:rPr>
        <w:t xml:space="preserve">/RSPO yang diperkuat) dengan pengakuan pasar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{"citationItems":[{"id":"ITEM-1","itemData":{"ISSN":"2685-3345","abstract":"Global concerns have been raised that oil palm plantations in Indonesia are driving deforestation, engaging in illegal land clearing, and leading to habitat destruction and the loss of biodiversity. To counteract the adverse effects of the expansion of oil palm plantations, an organization with founding members of the World Wildlife Fund, Malaysian Palm Oil Association (MPOA), Unilever, AAK, and Migros has established a certification system for palm oil products called the Roundtable on Sustainable Palm Oil (RSPO) and Indonesia has also created a standard or certification for palm oil products called Indonesian Sustainable Palm Oil (ISPO). The aims of this research were: a) to identify farmers' understanding regarding ISPO-RSPO certification in smallholder oil palm farming, and b) to identify strategies for increasing smallholder oil palm understanding of ISPO-RSPO in smallholder oil palm farming to support sustainable palm oil. This research activity was carried out using qualitative descriptive methods. The research was conducted in the Sinembah Tanjung Muda Hilir and Sinembah Tanjung Muda Hulu Sub districts with a population of 3,710 families of smallholder oil palm farmers and a sample of 98 respondents determined using Slovin. The results of this research indicated that the level of farmer misunderstanding of ISPO and RSPO certification was still quite high. Further research should be carried out to determine strategies of how to increase farmers' awareness of the benefits and opportunities obtained through participation in the ISPO and RSPO programs.","author":[{"dropping-particle":"","family":"Nainggolan","given":"Hotden Leonardo","non-dropping-particle":"","parse-names":false,"suffix":""},{"dropping-particle":"","family":"Marito Butar-Butar","given":"Kasih","non-dropping-particle":"","parse-names":false,"suffix":""},{"dropping-particle":"","family":"Lawolo","given":"Omirais","non-dropping-particle":"","parse-names":false,"suffix":""},{"dropping-particle":"","family":"Benget","given":"Josua","non-dropping-particle":"","parse-names":false,"suffix":""},{"dropping-particle":"","family":"Sitompul","given":"Martua","non-dropping-particle":"","parse-names":false,"suffix":""},{"dropping-particle":"","family":"Nainggolan","given":"Lamtiur Hotmaida","non-dropping-particle":"","parse-names":false,"suffix":""}],"container-title":"Jurnal Agrikultura","id":"ITEM-1","issue":"3","issued":{"date-parts":[["2024"]]},"page":"517-528","title":"Strategi Peningkatan Pemahaman Petani terhadap Sertifikasi ISPO-RSPO untuk Mendukung Sawit Rakyat Berkelanjutan","type":"article-journal","volume":"2024"},"uris":["http://www.mendeley.com/documents/?uuid=1e9fff36-8da5-4e26-9466-9e587e8d01e1"]}],"mendeley":{"formattedCitation":"(Nainggolan et al., 2024)","plainTextFormattedCitation":"(Nainggolan et al., 2024)","previouslyFormattedCitation":"(Nainggolan et al.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(Nainggolan et al.,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Agar implementasinya efektif, insentif bagi kegiatan </w:t>
      </w:r>
      <w:r w:rsidRPr="009A5C88">
        <w:rPr>
          <w:rFonts w:ascii="Arial" w:hAnsi="Arial" w:cs="Arial"/>
          <w:i/>
          <w:iCs/>
          <w:noProof/>
          <w:sz w:val="24"/>
          <w:szCs w:val="24"/>
          <w:lang w:val="id-ID"/>
        </w:rPr>
        <w:t>rewetting</w:t>
      </w:r>
      <w:r w:rsidRPr="009A5C88">
        <w:rPr>
          <w:rFonts w:ascii="Arial" w:hAnsi="Arial" w:cs="Arial"/>
          <w:noProof/>
          <w:sz w:val="24"/>
          <w:szCs w:val="24"/>
          <w:lang w:val="id-ID"/>
        </w:rPr>
        <w:t xml:space="preserve"> gambut, wanatani, dan sertifikasi RSPO perlu dirancang sesuai dengan peraturan hukum lingkungan dan tata ruang nasional, serta mengaitkan bantuan finansial dan teknis dengan verifikasi ilmiah, misalnya melalui penerapan </w:t>
      </w:r>
      <w:r w:rsidRPr="009A5C88">
        <w:rPr>
          <w:rFonts w:ascii="Arial" w:hAnsi="Arial" w:cs="Arial"/>
          <w:i/>
          <w:iCs/>
          <w:noProof/>
          <w:sz w:val="24"/>
          <w:szCs w:val="24"/>
          <w:lang w:val="id-ID"/>
        </w:rPr>
        <w:t>Best Management Practices</w:t>
      </w:r>
      <w:r w:rsidRPr="009A5C88">
        <w:rPr>
          <w:rFonts w:ascii="Arial" w:hAnsi="Arial" w:cs="Arial"/>
          <w:noProof/>
          <w:sz w:val="24"/>
          <w:szCs w:val="24"/>
          <w:lang w:val="id-ID"/>
        </w:rPr>
        <w:t xml:space="preserve"> (BMP) RSPO pada lahan gambut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uthor":[{"dropping-particle":"","family":"Nuriyatma","given":"Eko","non-dropping-particle":"","parse-names":false,"suffix":""},{"dropping-particle":"","family":"Budhiartie","given":"Arrie","non-dropping-particle":"","parse-names":false,"suffix":""},{"dropping-particle":"","family":"Amir","given":"Latifah","non-dropping-particle":"","parse-names":false,"suffix":""}],"id":"ITEM-1","issue":"2","issued":{"date-parts":[["2025"]]},"page":"4-5","title":"Peran Hukum dalam Pengelolaan dan Perlindungan Lahan Gambut","type":"article-journal","volume":"8"},"uris":["http://www.mendeley.com/documents/?uuid=896808ab-7e7c-468d-ab96-8a1dfa03a997"]}],"mendeley":{"formattedCitation":"(Nuriyatma, Budhiartie, &amp; Amir, 2025)","plainTextFormattedCitation":"(Nuriyatma, Budhiartie, &amp; Amir, 2025)","previouslyFormattedCitation":"(Nuriyatma, Budhiartie, and Amir 2025)"},"properties":{"noteIndex":0},"schema":"https://github.com/citation-style-language/schema/raw/master/csl-citation.json"}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(Nuriyatma, Budhiartie, &amp; Amir, 2025)</w:t>
      </w:r>
      <w:r w:rsidRPr="009A5C88">
        <w:rPr>
          <w:rFonts w:ascii="Arial" w:hAnsi="Arial" w:cs="Arial"/>
          <w:noProof/>
          <w:sz w:val="24"/>
          <w:szCs w:val="24"/>
          <w:lang w:val="id-ID"/>
        </w:rPr>
        <w:fldChar w:fldCharType="end"/>
      </w:r>
      <w:r w:rsidRPr="009A5C88">
        <w:rPr>
          <w:rFonts w:ascii="Arial" w:hAnsi="Arial" w:cs="Arial"/>
          <w:noProof/>
          <w:sz w:val="24"/>
          <w:szCs w:val="24"/>
          <w:lang w:val="id-ID"/>
        </w:rPr>
        <w:t>. Dengan demikian, sinergi antara insentif yang berbasis regulasi dan mekanisme pasar seperti pengakuan sertifikasi dalam kontrak pembelian dan akses pasar diharapkan mampu menciptakan sinyal ekonomi positif yang mendorong perusahaan dan petani untuk menginternalisasi biaya konservasi secara berkelanjutan.</w:t>
      </w:r>
    </w:p>
    <w:p w14:paraId="5217BF05" w14:textId="2F427929" w:rsidR="009A5C88" w:rsidRPr="009A5C88" w:rsidRDefault="009A5C88" w:rsidP="009A5C88">
      <w:pPr>
        <w:pStyle w:val="ListParagraph"/>
        <w:numPr>
          <w:ilvl w:val="0"/>
          <w:numId w:val="4"/>
        </w:numPr>
        <w:spacing w:after="0" w:line="360" w:lineRule="auto"/>
        <w:jc w:val="both"/>
        <w:rPr>
          <w:rFonts w:ascii="Arial" w:hAnsi="Arial" w:cs="Arial"/>
          <w:noProof/>
          <w:sz w:val="24"/>
          <w:szCs w:val="24"/>
          <w:lang w:val="id-ID"/>
        </w:rPr>
      </w:pPr>
      <w:r w:rsidRPr="009A5C88">
        <w:rPr>
          <w:rFonts w:ascii="Arial" w:hAnsi="Arial" w:cs="Arial"/>
          <w:noProof/>
          <w:sz w:val="24"/>
          <w:szCs w:val="24"/>
          <w:lang w:val="id-ID"/>
        </w:rPr>
        <w:t xml:space="preserve">Program transisi untuk petani kecil: bantuan akses pembiayaan, pelatihan, dan </w:t>
      </w:r>
      <w:r w:rsidRPr="009A5C88">
        <w:rPr>
          <w:rFonts w:ascii="Arial" w:hAnsi="Arial" w:cs="Arial"/>
          <w:noProof/>
          <w:sz w:val="24"/>
          <w:szCs w:val="24"/>
          <w:lang w:val="id-ID"/>
        </w:rPr>
        <w:lastRenderedPageBreak/>
        <w:t>skema pembelian yang adil (</w:t>
      </w:r>
      <w:r w:rsidRPr="009A5C88">
        <w:rPr>
          <w:rFonts w:ascii="Arial" w:hAnsi="Arial" w:cs="Arial"/>
          <w:i/>
          <w:iCs/>
          <w:noProof/>
          <w:sz w:val="24"/>
          <w:szCs w:val="24"/>
          <w:lang w:val="id-ID"/>
        </w:rPr>
        <w:t>fair-trade</w:t>
      </w:r>
      <w:r w:rsidRPr="009A5C88">
        <w:rPr>
          <w:rFonts w:ascii="Arial" w:hAnsi="Arial" w:cs="Arial"/>
          <w:noProof/>
          <w:sz w:val="24"/>
          <w:szCs w:val="24"/>
          <w:lang w:val="id-ID"/>
        </w:rPr>
        <w:t xml:space="preserve">) untuk memastikan kesejahteraan ekonomi sambil menurunkan tekanan ekspansi lahan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{"citationItems":[{"id":"ITEM-1","itemData":{"abstract":"Oil palm smallholders are potential actors to be included in the global palm oil market. Smallholder plantations account for 41.4% of total oil palm plantation areas and represents 36.6% of total CPO produced in Indonesia in 2015. The number of farmers involves in oil palm plantation encompass 2.3 million farmers which have been an important driver for economic growth in rural areas. However, oil palm smallholders are vulnerable from issues related to unsustainable production including environmental, social and legal issues which might lower access and exclude smallholder access to global market. The objective of this study is to analyze position and capacity of oil palm smallholders in facing global change in international market. Population of this study is oil palm smallholder farmers in Ukui Subdistrict, Pelalawan District, Riau Province which consist of RSPO-certified independent smallholders, Non-certified independent smallholders, and RSPO-certified scheme smallholders. The sample size were 220 farmers and chosen randomly from each group (80, 60 and 80 farmers for each group respectively). The study found that majority of the farmers still apply traditional practices in their plantations and far below the standard of good agricultural practices and certification standards. The challenges faced by the Amanah Association to obtain RSPO certificate is not easy to follow by other smallholders. Therefore, external supports from government and private actors are needed to improve farmers’ capacity to meet and comply with certification and to include small-scale farmers in the palm oil global supply chain.","author":[{"dropping-particle":"","family":"Hutabarat","given":"Sakti","non-dropping-particle":"","parse-names":false,"suffix":""}],"container-title":"Jurnal Ilmu-Ilmu Sosial Indonesia","id":"ITEM-1","issue":"1","issued":{"date-parts":[["2017"]]},"page":"47-64","title":"Tantangan Keberlanjutan Perkebunan Kelapa Sawit Rakyat di Kabupaten Pelalawan Riau dalam Perubahan Perdagangan Global","type":"article-journal","volume":"43"},"uris":["http://www.mendeley.com/documents/?uuid=8c285a1c-546e-4233-ac7e-b0646c04566b"]}],"mendeley":{"formattedCitation":"(Hutabarat, 2017)","plainTextFormattedCitation":"(Hutabarat, 2017)","previouslyFormattedCitation":"(Hutabarat 2017)"},"properties":{"noteIndex":0},"schema":"https://github.com/citation-style-language/schema/raw/master/csl-citation.json"}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(Hutabarat, 2017)</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Secara hukum dan politik, kebijakan transisi yang memberi akses pembiayaan, pelatihan teknis, dan skema pembelian yang adil harus dibangun di atas perlindungan hak-hak agraria dan inklusi sosial, misalnya pengakuan hak atas tanah adat, perlindungan tenurial, dan ketentuan kontraktual </w:t>
      </w:r>
      <w:r w:rsidRPr="009A5C88">
        <w:rPr>
          <w:rFonts w:ascii="Arial" w:hAnsi="Arial" w:cs="Arial"/>
          <w:i/>
          <w:iCs/>
          <w:noProof/>
          <w:sz w:val="24"/>
          <w:szCs w:val="24"/>
          <w:lang w:val="id-ID"/>
        </w:rPr>
        <w:t>fair-trade</w:t>
      </w:r>
      <w:r w:rsidRPr="009A5C88">
        <w:rPr>
          <w:rFonts w:ascii="Arial" w:hAnsi="Arial" w:cs="Arial"/>
          <w:noProof/>
          <w:sz w:val="24"/>
          <w:szCs w:val="24"/>
          <w:lang w:val="id-ID"/>
        </w:rPr>
        <w:t>. Legislasi dan program bantuan publik dapat mengarahkan subsidi atau kredit mikro bersyarat (</w:t>
      </w:r>
      <w:r w:rsidRPr="009A5C88">
        <w:rPr>
          <w:rFonts w:ascii="Arial" w:hAnsi="Arial" w:cs="Arial"/>
          <w:i/>
          <w:iCs/>
          <w:noProof/>
          <w:sz w:val="24"/>
          <w:szCs w:val="24"/>
          <w:lang w:val="id-ID"/>
        </w:rPr>
        <w:t>conditional grants/low-interest loans</w:t>
      </w:r>
      <w:r w:rsidRPr="009A5C88">
        <w:rPr>
          <w:rFonts w:ascii="Arial" w:hAnsi="Arial" w:cs="Arial"/>
          <w:noProof/>
          <w:sz w:val="24"/>
          <w:szCs w:val="24"/>
          <w:lang w:val="id-ID"/>
        </w:rPr>
        <w:t xml:space="preserve">) untuk mendorong intensifikasi berkelanjutan dan mengurangi tekanan ekspansi lahan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{"citationItems":[{"id":"ITEM-1","itemData":{"author":[{"dropping-particle":"","family":"Ramadhan","given":"M Arif","non-dropping-particle":"","parse-names":false,"suffix":""},{"dropping-particle":"","family":"Azhari","given":"Muhammad Akbar","non-dropping-particle":"","parse-names":false,"suffix":""},{"dropping-particle":"","family":"Fikri","given":"Muhammad","non-dropping-particle":"","parse-names":false,"suffix":""},{"dropping-particle":"","family":"Satriawan","given":"Reksi","non-dropping-particle":"","parse-names":false,"suffix":""}],"id":"ITEM-1","issue":"6","issued":{"date-parts":[["2024"]]},"page":"8699-8705","title":"Tinjauan Yuridis Reforma Agraria dalam Perspektif Perlindungan Hukum Petani","type":"article-journal","volume":"3"},"uris":["http://www.mendeley.com/documents/?uuid=78795c7c-f1d6-4de5-9410-9ba420e11755"]}],"mendeley":{"formattedCitation":"(M. A. Ramadhan, Azhari, Fikri, &amp; Satriawan, 2024)","plainTextFormattedCitation":"(M. A. Ramadhan, Azhari, Fikri, &amp; Satriawan, 2024)","previouslyFormattedCitation":"(M. A. Ramadhan et al. 2024)"},"properties":{"noteIndex":0},"schema":"https://github.com/citation-style-language/schema/raw/master/csl-citation.json"}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(M. A. Ramadhan, Azhari, Fikri, &amp; Satriawan, 2024)</w:t>
      </w:r>
      <w:r w:rsidRPr="009A5C88">
        <w:rPr>
          <w:rFonts w:ascii="Arial" w:hAnsi="Arial" w:cs="Arial"/>
          <w:noProof/>
          <w:sz w:val="24"/>
          <w:szCs w:val="24"/>
          <w:lang w:val="id-ID"/>
        </w:rPr>
        <w:fldChar w:fldCharType="end"/>
      </w:r>
      <w:r w:rsidRPr="009A5C88">
        <w:rPr>
          <w:rFonts w:ascii="Arial" w:hAnsi="Arial" w:cs="Arial"/>
          <w:noProof/>
          <w:sz w:val="24"/>
          <w:szCs w:val="24"/>
          <w:lang w:val="id-ID"/>
        </w:rPr>
        <w:t>. Di level implementasi, dukungan ini perlu ditempatkan dalam kerangka kepatuhan terhadap regulasi eksternal (misalnya E</w:t>
      </w:r>
      <w:r w:rsidRPr="009A5C88">
        <w:rPr>
          <w:rFonts w:ascii="Arial" w:hAnsi="Arial" w:cs="Arial"/>
          <w:i/>
          <w:iCs/>
          <w:noProof/>
          <w:sz w:val="24"/>
          <w:szCs w:val="24"/>
          <w:lang w:val="id-ID"/>
        </w:rPr>
        <w:t>uropean Union on Deforestation-free</w:t>
      </w:r>
      <w:r w:rsidR="00B9551B">
        <w:rPr>
          <w:rFonts w:ascii="Arial" w:hAnsi="Arial" w:cs="Arial"/>
          <w:i/>
          <w:iCs/>
          <w:noProof/>
          <w:sz w:val="24"/>
          <w:szCs w:val="24"/>
          <w:lang w:val="id-ID"/>
        </w:rPr>
        <w:t xml:space="preserve"> </w:t>
      </w:r>
      <w:r w:rsidRPr="009A5C88">
        <w:rPr>
          <w:rFonts w:ascii="Arial" w:hAnsi="Arial" w:cs="Arial"/>
          <w:i/>
          <w:iCs/>
          <w:noProof/>
          <w:sz w:val="24"/>
          <w:szCs w:val="24"/>
          <w:lang w:val="id-ID"/>
        </w:rPr>
        <w:t>Regulation</w:t>
      </w:r>
      <w:r w:rsidRPr="009A5C88">
        <w:rPr>
          <w:rFonts w:ascii="Arial" w:hAnsi="Arial" w:cs="Arial"/>
          <w:noProof/>
          <w:sz w:val="24"/>
          <w:szCs w:val="24"/>
          <w:lang w:val="id-ID"/>
        </w:rPr>
        <w:t xml:space="preserve"> /EUDR) sehingga </w:t>
      </w:r>
      <w:r w:rsidRPr="009A5C88">
        <w:rPr>
          <w:rFonts w:ascii="Arial" w:hAnsi="Arial" w:cs="Arial"/>
          <w:i/>
          <w:iCs/>
          <w:noProof/>
          <w:sz w:val="24"/>
          <w:szCs w:val="24"/>
          <w:lang w:val="id-ID"/>
        </w:rPr>
        <w:t xml:space="preserve">smallholder </w:t>
      </w:r>
      <w:r w:rsidRPr="009A5C88">
        <w:rPr>
          <w:rFonts w:ascii="Arial" w:hAnsi="Arial" w:cs="Arial"/>
          <w:noProof/>
          <w:sz w:val="24"/>
          <w:szCs w:val="24"/>
          <w:lang w:val="id-ID"/>
        </w:rPr>
        <w:t>tidak terdorong keluar dari pasar internasional. Pendekatan hukum harus memastikan mekanisme akuntabilitas misalnya persyaratan pelaporan penggunaan dana, standardisasi pelatihan, dan akses penyelesaian sengketa bagi petani.</w:t>
      </w:r>
    </w:p>
    <w:p w14:paraId="74080F29" w14:textId="77777777" w:rsidR="009A5C88" w:rsidRPr="009A5C88" w:rsidRDefault="009A5C88" w:rsidP="009A5C88">
      <w:pPr>
        <w:pStyle w:val="ListParagraph"/>
        <w:spacing w:after="0" w:line="360" w:lineRule="auto"/>
        <w:jc w:val="both"/>
        <w:rPr>
          <w:rFonts w:ascii="Arial" w:hAnsi="Arial" w:cs="Arial"/>
          <w:noProof/>
          <w:sz w:val="24"/>
          <w:szCs w:val="24"/>
          <w:lang w:val="id-ID"/>
        </w:rPr>
      </w:pPr>
    </w:p>
    <w:p w14:paraId="743A8AC2" w14:textId="3E72DA4F" w:rsidR="009A5C88" w:rsidRPr="002A2EF3" w:rsidRDefault="009A5C88" w:rsidP="009A5C88">
      <w:pPr>
        <w:pStyle w:val="ListParagraph"/>
        <w:numPr>
          <w:ilvl w:val="0"/>
          <w:numId w:val="4"/>
        </w:numPr>
        <w:spacing w:after="0" w:line="360" w:lineRule="auto"/>
        <w:jc w:val="both"/>
        <w:rPr>
          <w:rFonts w:ascii="Cambria" w:hAnsi="Cambria" w:cs="Times New Roman"/>
          <w:noProof/>
          <w:lang w:val="id-ID"/>
        </w:rPr>
      </w:pPr>
      <w:r w:rsidRPr="009A5C88">
        <w:rPr>
          <w:rFonts w:ascii="Arial" w:hAnsi="Arial" w:cs="Arial"/>
          <w:noProof/>
          <w:sz w:val="24"/>
          <w:szCs w:val="24"/>
          <w:lang w:val="id-ID"/>
        </w:rPr>
        <w:t xml:space="preserve">Restorasi dan konservasi: prioritas reforestasi pada areal kritis, pembentukan koridor habitat, serta program konservasi spesies prioritas dengan melibatkan masyarakat lokal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{"citationItems":[{"id":"ITEM-1","itemData":{"abstract":"The purpose of this study is to analyze (1) whether oil palm plantations are the main drivers of deforestation in Indonesia; and (2) how does the Indonesian palm oil industry contribute to sustainable development both economically, socially and ecologically. Oil palm plantations are Indonesia's strategic industries. Since 2000, the Indonesian palm oil industry has grown rapidly and has influenced the dynamics of competition among vegetable oils including the form of black campaigns and accusations as drivers of deforestation in Indonesia. The research methodology is empirical descriptive research, which are: (1) to analyze the history of deforestation in logging era in Indonesia and related to the development of oil palm plantation and (2) to analyze the linkage of Indonesian oil palm plantation development with economic, social and ecological aspect. In the period 1950-2013, conversion of forests into non-forests is quite high ie 98.8 million hectares. However, the area of oil palm plantation Indonesia only increased from 0.1 million hectares (1950) to 10.4 million hectares (2013). Based on satellite data (Gunarso, et al., 2012) revealed that the origins of Indonesian oil palm plantations are mostly from degraded land, and only 3.4 percent are converted from primary forest. This proves that oil palm plantations as the main drivers of deforestation in Indonesia are not true. In the economic aspect, the palm oil industry contributes in generating foreign exchange, regional development and successfully creating farmers into middle income. In the social aspect, the oil industry plays a role in rural development and poverty reduction and equitable economic development, and improves income and development inequalities. In the ecological aspect, oil palm plantations contribute to sustainable development through its role in absorbing CO2 and generating O2, and increasing land biomass. Oil palm plantations also reduce greenhouse gas emissions","author":[{"dropping-particle":"V.","family":"Purba","given":"Jan Horas","non-dropping-particle":"","parse-names":false,"suffix":""},{"dropping-particle":"","family":"Sipayung","given":"Tungkot","non-dropping-particle":"","parse-names":false,"suffix":""}],"container-title":"Jurnal Ilmu-Ilmu Sosial Indonesia","id":"ITEM-1","issue":"1","issued":{"date-parts":[["2017"]]},"page":"81-94","title":"Perkebunan Kelapa Sawit Indonesia Dalam Perspektif Pembangunan Berkelanjutan","type":"article-journal","volume":"43"},"uris":["http://www.mendeley.com/documents/?uuid=146bf1ff-87b1-48a2-bb12-694169140ef0"]}],"mendeley":{"formattedCitation":"(Purba &amp; Sipayung, 2017)","plainTextFormattedCitation":"(Purba &amp; Sipayung, 2017)","previouslyFormattedCitation":"(Purba and Sipayung 2017)"},"properties":{"noteIndex":0},"schema":"https://github.com/citation-style-language/schema/raw/master/csl-citation.json"}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(Purba &amp; Sipayung, 2017)</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Restorasi lahan kritis termasuk reforestasi, </w:t>
      </w:r>
      <w:r w:rsidRPr="009A5C88">
        <w:rPr>
          <w:rFonts w:ascii="Arial" w:hAnsi="Arial" w:cs="Arial"/>
          <w:i/>
          <w:iCs/>
          <w:noProof/>
          <w:sz w:val="24"/>
          <w:szCs w:val="24"/>
          <w:lang w:val="id-ID"/>
        </w:rPr>
        <w:t>rewetting</w:t>
      </w:r>
      <w:r w:rsidRPr="009A5C88">
        <w:rPr>
          <w:rFonts w:ascii="Arial" w:hAnsi="Arial" w:cs="Arial"/>
          <w:noProof/>
          <w:sz w:val="24"/>
          <w:szCs w:val="24"/>
          <w:lang w:val="id-ID"/>
        </w:rPr>
        <w:t xml:space="preserve"> gambut, pembentukan koridor habitat, dan program konservasi spesies prioritas, memerlukan landasan hukum yang jelas (misalnya penetapan prioritas restorasi, perlindungan kawasan riparian, syarat kompensasi,</w:t>
      </w:r>
      <w:r w:rsidR="00AD499B">
        <w:rPr>
          <w:rFonts w:ascii="Arial" w:hAnsi="Arial" w:cs="Arial"/>
          <w:noProof/>
          <w:sz w:val="24"/>
          <w:szCs w:val="24"/>
          <w:lang w:val="id-ID"/>
        </w:rPr>
        <w:t xml:space="preserve"> </w:t>
      </w:r>
      <w:r w:rsidRPr="009A5C88">
        <w:rPr>
          <w:rFonts w:ascii="Arial" w:hAnsi="Arial" w:cs="Arial"/>
          <w:noProof/>
          <w:sz w:val="24"/>
          <w:szCs w:val="24"/>
          <w:lang w:val="id-ID"/>
        </w:rPr>
        <w:t xml:space="preserve">atau pemulihan lingkungan pada izin perusahaan) </w:t>
      </w:r>
      <w:r w:rsidRPr="009A5C88">
        <w:rPr>
          <w:rFonts w:ascii="Arial" w:hAnsi="Arial" w:cs="Arial"/>
          <w:noProof/>
          <w:sz w:val="24"/>
          <w:szCs w:val="24"/>
          <w:lang w:val="id-ID"/>
        </w:rPr>
        <w:fldChar w:fldCharType="begin" w:fldLock="1"/>
      </w:r>
      <w:r w:rsidR="00B1345C">
        <w:rPr>
          <w:rFonts w:ascii="Arial" w:hAnsi="Arial" w:cs="Arial"/>
          <w:noProof/>
          <w:sz w:val="24"/>
          <w:szCs w:val="24"/>
          <w:lang w:val="id-ID"/>
        </w:rPr>
        <w:instrText>ADDIN CSL_CITATION {"citationItems":[{"id":"ITEM-1","itemData":{"author":[{"dropping-particle":"","family":"Rumimpunu","given":"Alviano Ottohan Oktavianus","non-dropping-particle":"","parse-names":false,"suffix":""},{"dropping-particle":"","family":"Kalalo","given":"Flora Priscilla","non-dropping-particle":"","parse-names":false,"suffix":""},{"dropping-particle":"","family":"Sondakh","given":"Jemmy","non-dropping-particle":"","parse-names":false,"suffix":""}],"container-title":"Lex Et Societatis","id":"ITEM-1","issue":"4","issued":{"date-parts":[["2020"]]},"page":"5-12","title":"Kajian Hukum Konservasi Sumber Daya Alam Hayati dan Ekosistemnya di Indonesia","type":"article-journal","volume":"VIII"},"uris":["http://www.mendeley.com/documents/?uuid=e3f75498-ac14-4785-b974-c03c5ee07159"]}],"mendeley":{"formattedCitation":"(Rumimpunu, Kalalo, &amp; Sondakh, 2020)","plainTextFormattedCitation":"(Rumimpunu, Kalalo, &amp; Sondakh, 2020)","previouslyFormattedCitation":"(Rumimpunu, Kalalo, and Sondakh 2020)"},"properties":{"noteIndex":0},"schema":"https://github.com/citation-style-language/schema/raw/master/csl-citation.json"}</w:instrText>
      </w:r>
      <w:r w:rsidRPr="009A5C88">
        <w:rPr>
          <w:rFonts w:ascii="Arial" w:hAnsi="Arial" w:cs="Arial"/>
          <w:noProof/>
          <w:sz w:val="24"/>
          <w:szCs w:val="24"/>
          <w:lang w:val="id-ID"/>
        </w:rPr>
        <w:fldChar w:fldCharType="separate"/>
      </w:r>
      <w:r w:rsidR="00B1345C" w:rsidRPr="00B1345C">
        <w:rPr>
          <w:rFonts w:ascii="Arial" w:hAnsi="Arial" w:cs="Arial"/>
          <w:noProof/>
          <w:sz w:val="24"/>
          <w:szCs w:val="24"/>
          <w:lang w:val="id-ID"/>
        </w:rPr>
        <w:t>(Rumimpunu, Kalalo, &amp; Sondakh, 2020)</w:t>
      </w:r>
      <w:r w:rsidRPr="009A5C88">
        <w:rPr>
          <w:rFonts w:ascii="Arial" w:hAnsi="Arial" w:cs="Arial"/>
          <w:noProof/>
          <w:sz w:val="24"/>
          <w:szCs w:val="24"/>
          <w:lang w:val="id-ID"/>
        </w:rPr>
        <w:fldChar w:fldCharType="end"/>
      </w:r>
      <w:r w:rsidRPr="009A5C88">
        <w:rPr>
          <w:rFonts w:ascii="Arial" w:hAnsi="Arial" w:cs="Arial"/>
          <w:noProof/>
          <w:sz w:val="24"/>
          <w:szCs w:val="24"/>
          <w:lang w:val="id-ID"/>
        </w:rPr>
        <w:t xml:space="preserve">. Pembentukan badan koordinasi (seperti Badan </w:t>
      </w:r>
      <w:r w:rsidRPr="009A5C88">
        <w:rPr>
          <w:rFonts w:ascii="Arial" w:hAnsi="Arial" w:cs="Arial"/>
          <w:noProof/>
          <w:sz w:val="24"/>
          <w:szCs w:val="24"/>
          <w:lang w:val="id-ID"/>
        </w:rPr>
        <w:lastRenderedPageBreak/>
        <w:t xml:space="preserve">Restorasi Gambut/BRG dan Badan Restorasi Gambut dan </w:t>
      </w:r>
      <w:r w:rsidRPr="009A5C88">
        <w:rPr>
          <w:rFonts w:ascii="Arial" w:hAnsi="Arial" w:cs="Arial"/>
          <w:i/>
          <w:iCs/>
          <w:noProof/>
          <w:sz w:val="24"/>
          <w:szCs w:val="24"/>
          <w:lang w:val="id-ID"/>
        </w:rPr>
        <w:t>Mangrove</w:t>
      </w:r>
      <w:r w:rsidRPr="009A5C88">
        <w:rPr>
          <w:rFonts w:ascii="Arial" w:hAnsi="Arial" w:cs="Arial"/>
          <w:b/>
          <w:bCs/>
          <w:i/>
          <w:iCs/>
          <w:noProof/>
          <w:sz w:val="24"/>
          <w:szCs w:val="24"/>
          <w:lang w:val="id-ID"/>
        </w:rPr>
        <w:t>/</w:t>
      </w:r>
      <w:r w:rsidRPr="009A5C88">
        <w:rPr>
          <w:rFonts w:ascii="Arial" w:hAnsi="Arial" w:cs="Arial"/>
          <w:noProof/>
          <w:sz w:val="24"/>
          <w:szCs w:val="24"/>
          <w:lang w:val="id-ID"/>
        </w:rPr>
        <w:t>BRGM pada konteks gambut) dan pemanfaatan instrumen hukum administratif (pencabutan izin atau syarat perbaikan lingkungan) serta insentif fiskal/keuangan untuk kegiatan restorasi dapat menjembatani tanggung jawab korporasi dan kebutuhan komunitas lokal. Partisipasi masyarakat dan mekanisme konsultasi yang diatur secara wajib dalam prosedur perizinan akan meningkatkan legitimasi program konservasi serta meminimalkan pelanggaran HAM lingkungan</w:t>
      </w:r>
      <w:r w:rsidRPr="002A2EF3">
        <w:rPr>
          <w:rFonts w:ascii="Cambria" w:hAnsi="Cambria" w:cs="Times New Roman"/>
          <w:noProof/>
          <w:lang w:val="id-ID"/>
        </w:rPr>
        <w:t>.</w:t>
      </w:r>
    </w:p>
    <w:p w14:paraId="2186986A" w14:textId="77777777" w:rsidR="00941341" w:rsidRPr="00873DFB" w:rsidRDefault="00941341" w:rsidP="008D7A3B">
      <w:pPr>
        <w:spacing w:after="0" w:line="360" w:lineRule="auto"/>
        <w:jc w:val="both"/>
        <w:rPr>
          <w:rFonts w:ascii="Arial" w:hAnsi="Arial" w:cs="Arial"/>
          <w:noProof/>
          <w:sz w:val="24"/>
          <w:szCs w:val="24"/>
          <w:lang w:val="en-ID"/>
        </w:rPr>
      </w:pPr>
    </w:p>
    <w:p w14:paraId="0DE9CAEC" w14:textId="77777777" w:rsidR="00F54741" w:rsidRPr="00873DFB" w:rsidRDefault="00F54741" w:rsidP="005C600E">
      <w:pPr>
        <w:spacing w:after="0" w:line="360" w:lineRule="auto"/>
        <w:rPr>
          <w:rFonts w:ascii="Arial" w:hAnsi="Arial" w:cs="Arial"/>
          <w:b/>
          <w:noProof/>
          <w:sz w:val="24"/>
          <w:szCs w:val="24"/>
          <w:lang w:val="en-ID"/>
        </w:rPr>
      </w:pPr>
      <w:r w:rsidRPr="00873DFB">
        <w:rPr>
          <w:rFonts w:ascii="Arial" w:hAnsi="Arial" w:cs="Arial"/>
          <w:b/>
          <w:noProof/>
          <w:sz w:val="24"/>
          <w:szCs w:val="24"/>
          <w:lang w:val="en-ID"/>
        </w:rPr>
        <w:t>E. Kesimpulan</w:t>
      </w:r>
    </w:p>
    <w:p w14:paraId="68A7672A" w14:textId="1939379E" w:rsidR="00817F21" w:rsidRPr="00817F21" w:rsidRDefault="00817F21" w:rsidP="00817F21">
      <w:pPr>
        <w:spacing w:after="0" w:line="360" w:lineRule="auto"/>
        <w:ind w:firstLine="567"/>
        <w:jc w:val="both"/>
        <w:rPr>
          <w:rFonts w:ascii="Arial" w:hAnsi="Arial" w:cs="Arial"/>
          <w:noProof/>
          <w:sz w:val="32"/>
          <w:szCs w:val="32"/>
          <w:lang w:val="en-ID"/>
        </w:rPr>
      </w:pPr>
      <w:r w:rsidRPr="00817F21">
        <w:rPr>
          <w:rFonts w:ascii="Arial" w:hAnsi="Arial" w:cs="Arial"/>
          <w:noProof/>
          <w:sz w:val="24"/>
          <w:szCs w:val="24"/>
          <w:lang w:val="en-AU"/>
        </w:rPr>
        <w:t xml:space="preserve">Ekspansi perkebunan sawit menghadirkan dilema antara kebutuhan ekonomi dan keberlanjutan lingkungan. Penggabungan analisis empiris (data produksi, area, emisi) dengan refleksi filsafat lingkungan mempertegas bahwa pendekatan multidimensi diperlukan. Perhitungan pada jejak lingkungan bukan untuk melarang produksi sawit secara total, melainkan untuk merumuskan </w:t>
      </w:r>
      <w:r w:rsidRPr="00817F21">
        <w:rPr>
          <w:rFonts w:ascii="Arial" w:hAnsi="Arial" w:cs="Arial"/>
          <w:noProof/>
          <w:sz w:val="24"/>
          <w:szCs w:val="24"/>
          <w:lang w:val="en-AU"/>
        </w:rPr>
        <w:t xml:space="preserve">kerangka tata kelola yang memastikan keberlanjutan ekologis, keadilan sosial, dan ketahanan ekonomi. Tindakan segera seperti penguatan aturan konsesi, </w:t>
      </w:r>
      <w:r w:rsidRPr="00817F21">
        <w:rPr>
          <w:rFonts w:ascii="Arial" w:hAnsi="Arial" w:cs="Arial"/>
          <w:i/>
          <w:iCs/>
          <w:noProof/>
          <w:sz w:val="24"/>
          <w:szCs w:val="24"/>
          <w:lang w:val="en-AU"/>
        </w:rPr>
        <w:t>rewetting</w:t>
      </w:r>
      <w:r w:rsidRPr="00817F21">
        <w:rPr>
          <w:rFonts w:ascii="Arial" w:hAnsi="Arial" w:cs="Arial"/>
          <w:noProof/>
          <w:sz w:val="24"/>
          <w:szCs w:val="24"/>
          <w:lang w:val="en-AU"/>
        </w:rPr>
        <w:t xml:space="preserve"> lahan gambut, dan dukungan kepada petani kecil akan mengurangi </w:t>
      </w:r>
      <w:r w:rsidRPr="00817F21">
        <w:rPr>
          <w:rFonts w:ascii="Arial" w:hAnsi="Arial" w:cs="Arial"/>
          <w:i/>
          <w:iCs/>
          <w:noProof/>
          <w:sz w:val="24"/>
          <w:szCs w:val="24"/>
          <w:lang w:val="en-AU"/>
        </w:rPr>
        <w:t>trade-off</w:t>
      </w:r>
      <w:r w:rsidRPr="00817F21">
        <w:rPr>
          <w:rFonts w:ascii="Arial" w:hAnsi="Arial" w:cs="Arial"/>
          <w:noProof/>
          <w:sz w:val="24"/>
          <w:szCs w:val="24"/>
          <w:lang w:val="en-AU"/>
        </w:rPr>
        <w:t xml:space="preserve"> yang ada dan mengarahkan industri menuju praktik yang lebih bertanggung jawab.</w:t>
      </w:r>
    </w:p>
    <w:p w14:paraId="792D9B08" w14:textId="77777777" w:rsidR="00817F21" w:rsidRPr="00512113" w:rsidRDefault="00817F21" w:rsidP="00817F21">
      <w:pPr>
        <w:tabs>
          <w:tab w:val="left" w:pos="7740"/>
        </w:tabs>
        <w:spacing w:after="0" w:line="240" w:lineRule="auto"/>
        <w:jc w:val="both"/>
        <w:rPr>
          <w:rFonts w:ascii="Arial" w:eastAsia="MS Mincho" w:hAnsi="Arial" w:cs="Arial"/>
          <w:noProof/>
          <w:color w:val="000000"/>
          <w:sz w:val="20"/>
          <w:szCs w:val="20"/>
          <w:lang w:val="en-AU" w:eastAsia="ja-JP"/>
        </w:rPr>
      </w:pPr>
    </w:p>
    <w:p w14:paraId="58FC84B9" w14:textId="77777777" w:rsidR="00552E61" w:rsidRPr="00873DFB" w:rsidRDefault="00552E61" w:rsidP="00552E61">
      <w:pPr>
        <w:spacing w:after="0" w:line="360" w:lineRule="auto"/>
        <w:ind w:firstLine="567"/>
        <w:jc w:val="both"/>
        <w:rPr>
          <w:rFonts w:ascii="Arial" w:hAnsi="Arial" w:cs="Arial"/>
          <w:noProof/>
          <w:sz w:val="24"/>
          <w:szCs w:val="24"/>
          <w:lang w:val="en-ID"/>
        </w:rPr>
      </w:pPr>
    </w:p>
    <w:p w14:paraId="6A7C858C" w14:textId="77777777" w:rsidR="00F54741" w:rsidRPr="00873DFB" w:rsidRDefault="00F54741" w:rsidP="005C600E">
      <w:pPr>
        <w:rPr>
          <w:rFonts w:ascii="Arial" w:hAnsi="Arial" w:cs="Arial"/>
          <w:b/>
          <w:noProof/>
          <w:sz w:val="24"/>
          <w:szCs w:val="24"/>
          <w:lang w:val="en-ID"/>
        </w:rPr>
      </w:pPr>
      <w:r w:rsidRPr="00873DFB">
        <w:rPr>
          <w:rFonts w:ascii="Arial" w:hAnsi="Arial" w:cs="Arial"/>
          <w:b/>
          <w:noProof/>
          <w:sz w:val="24"/>
          <w:szCs w:val="24"/>
          <w:lang w:val="en-ID"/>
        </w:rPr>
        <w:t>DAFTAR PUSTAKA</w:t>
      </w:r>
    </w:p>
    <w:p w14:paraId="4743A694" w14:textId="7348E2D5"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Pr>
          <w:rFonts w:ascii="Arial" w:hAnsi="Arial" w:cs="Arial"/>
          <w:noProof/>
          <w:sz w:val="24"/>
          <w:szCs w:val="24"/>
          <w:lang w:val="en-ID"/>
        </w:rPr>
        <w:fldChar w:fldCharType="begin" w:fldLock="1"/>
      </w:r>
      <w:r>
        <w:rPr>
          <w:rFonts w:ascii="Arial" w:hAnsi="Arial" w:cs="Arial"/>
          <w:noProof/>
          <w:sz w:val="24"/>
          <w:szCs w:val="24"/>
          <w:lang w:val="en-ID"/>
        </w:rPr>
        <w:instrText xml:space="preserve">ADDIN Mendeley Bibliography CSL_BIBLIOGRAPHY </w:instrText>
      </w:r>
      <w:r>
        <w:rPr>
          <w:rFonts w:ascii="Arial" w:hAnsi="Arial" w:cs="Arial"/>
          <w:noProof/>
          <w:sz w:val="24"/>
          <w:szCs w:val="24"/>
          <w:lang w:val="en-ID"/>
        </w:rPr>
        <w:fldChar w:fldCharType="separate"/>
      </w:r>
      <w:r w:rsidRPr="00B1345C">
        <w:rPr>
          <w:rFonts w:ascii="Arial" w:hAnsi="Arial" w:cs="Arial"/>
          <w:noProof/>
          <w:sz w:val="24"/>
        </w:rPr>
        <w:t xml:space="preserve">Abrilian, A. G. P. (2025). Analisis Problematika Program Food Estate di Era Menteri Pertahanan Prabowo Subianto dalam Perspektif Ekofeminisme. </w:t>
      </w:r>
      <w:r w:rsidRPr="00B1345C">
        <w:rPr>
          <w:rFonts w:ascii="Arial" w:hAnsi="Arial" w:cs="Arial"/>
          <w:i/>
          <w:iCs/>
          <w:noProof/>
          <w:sz w:val="24"/>
        </w:rPr>
        <w:t>Jejak Digital: Jurnal Ilmiah Multidisiplin</w:t>
      </w:r>
      <w:r w:rsidRPr="00B1345C">
        <w:rPr>
          <w:rFonts w:ascii="Arial" w:hAnsi="Arial" w:cs="Arial"/>
          <w:noProof/>
          <w:sz w:val="24"/>
        </w:rPr>
        <w:t xml:space="preserve">, </w:t>
      </w:r>
      <w:r w:rsidRPr="00B1345C">
        <w:rPr>
          <w:rFonts w:ascii="Arial" w:hAnsi="Arial" w:cs="Arial"/>
          <w:i/>
          <w:iCs/>
          <w:noProof/>
          <w:sz w:val="24"/>
        </w:rPr>
        <w:t>1</w:t>
      </w:r>
      <w:r w:rsidRPr="00B1345C">
        <w:rPr>
          <w:rFonts w:ascii="Arial" w:hAnsi="Arial" w:cs="Arial"/>
          <w:noProof/>
          <w:sz w:val="24"/>
        </w:rPr>
        <w:t>(4), 1919–1928.</w:t>
      </w:r>
    </w:p>
    <w:p w14:paraId="095A6784"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Amalia, R., Dharmawan, A. H., Prasetyo, L. B., &amp; Pacheco, P. (2019). Perubahan Tutupan Lahan Akibat Ekspansi Perkebunan Kelapa Sawit: Dampak Sosial, Ekonomi dan Ekologi. </w:t>
      </w:r>
      <w:r w:rsidRPr="00B1345C">
        <w:rPr>
          <w:rFonts w:ascii="Arial" w:hAnsi="Arial" w:cs="Arial"/>
          <w:i/>
          <w:iCs/>
          <w:noProof/>
          <w:sz w:val="24"/>
        </w:rPr>
        <w:t>Jurnal Ilmu Lingkungan</w:t>
      </w:r>
      <w:r w:rsidRPr="00B1345C">
        <w:rPr>
          <w:rFonts w:ascii="Arial" w:hAnsi="Arial" w:cs="Arial"/>
          <w:noProof/>
          <w:sz w:val="24"/>
        </w:rPr>
        <w:t xml:space="preserve">, </w:t>
      </w:r>
      <w:r w:rsidRPr="00B1345C">
        <w:rPr>
          <w:rFonts w:ascii="Arial" w:hAnsi="Arial" w:cs="Arial"/>
          <w:i/>
          <w:iCs/>
          <w:noProof/>
          <w:sz w:val="24"/>
        </w:rPr>
        <w:t>17</w:t>
      </w:r>
      <w:r w:rsidRPr="00B1345C">
        <w:rPr>
          <w:rFonts w:ascii="Arial" w:hAnsi="Arial" w:cs="Arial"/>
          <w:noProof/>
          <w:sz w:val="24"/>
        </w:rPr>
        <w:t>(1), 130. https://doi.org/10.14710/jil.17.1.130-139</w:t>
      </w:r>
    </w:p>
    <w:p w14:paraId="6C41EE12"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Amri, L. O., Bariun, L. O., Siregar, W. A., Hijriani, Tolo, S. B., &amp; Munawir, L. O. (2024). </w:t>
      </w:r>
      <w:r w:rsidRPr="00B1345C">
        <w:rPr>
          <w:rFonts w:ascii="Arial" w:hAnsi="Arial" w:cs="Arial"/>
          <w:i/>
          <w:iCs/>
          <w:noProof/>
          <w:sz w:val="24"/>
        </w:rPr>
        <w:t>Pengaruh Hukum Tumpang Tindih di Areal Perkebunan Terhadap Izin Usaha Pertambangan dari Perspektif Penerbitan Izin The</w:t>
      </w:r>
      <w:r w:rsidRPr="00B1345C">
        <w:rPr>
          <w:rFonts w:ascii="Arial" w:hAnsi="Arial" w:cs="Arial"/>
          <w:noProof/>
          <w:sz w:val="24"/>
        </w:rPr>
        <w:t xml:space="preserve">. </w:t>
      </w:r>
      <w:r w:rsidRPr="00B1345C">
        <w:rPr>
          <w:rFonts w:ascii="Arial" w:hAnsi="Arial" w:cs="Arial"/>
          <w:i/>
          <w:iCs/>
          <w:noProof/>
          <w:sz w:val="24"/>
        </w:rPr>
        <w:t>6</w:t>
      </w:r>
      <w:r w:rsidRPr="00B1345C">
        <w:rPr>
          <w:rFonts w:ascii="Arial" w:hAnsi="Arial" w:cs="Arial"/>
          <w:noProof/>
          <w:sz w:val="24"/>
        </w:rPr>
        <w:t>(2), 71–82.</w:t>
      </w:r>
    </w:p>
    <w:p w14:paraId="38570E71"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Asia, T. E. (2019). </w:t>
      </w:r>
      <w:r w:rsidRPr="00B1345C">
        <w:rPr>
          <w:rFonts w:ascii="Arial" w:hAnsi="Arial" w:cs="Arial"/>
          <w:i/>
          <w:iCs/>
          <w:noProof/>
          <w:sz w:val="24"/>
        </w:rPr>
        <w:t>Emisi Gas Rumah Kaca dari Produksi Biodiesel di Indonesia Berdasarkan Analisa Daur Hidup</w:t>
      </w:r>
      <w:r w:rsidRPr="00B1345C">
        <w:rPr>
          <w:rFonts w:ascii="Arial" w:hAnsi="Arial" w:cs="Arial"/>
          <w:noProof/>
          <w:sz w:val="24"/>
        </w:rPr>
        <w:t>. Jakarta.</w:t>
      </w:r>
    </w:p>
    <w:p w14:paraId="7ED1E016"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Badan Pusat Statistik Republik Indonesia. (2024). </w:t>
      </w:r>
      <w:r w:rsidRPr="00B1345C">
        <w:rPr>
          <w:rFonts w:ascii="Arial" w:hAnsi="Arial" w:cs="Arial"/>
          <w:i/>
          <w:iCs/>
          <w:noProof/>
          <w:sz w:val="24"/>
        </w:rPr>
        <w:t>Indonesia oil palm statistics</w:t>
      </w:r>
      <w:r w:rsidRPr="00B1345C">
        <w:rPr>
          <w:rFonts w:ascii="Arial" w:hAnsi="Arial" w:cs="Arial"/>
          <w:noProof/>
          <w:sz w:val="24"/>
        </w:rPr>
        <w:t xml:space="preserve"> (Vol. 17). Jakarta.</w:t>
      </w:r>
    </w:p>
    <w:p w14:paraId="548EA06E"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lastRenderedPageBreak/>
        <w:t xml:space="preserve">Du, H. (2025). From Environmental Ethics to Sustainability Ethics. </w:t>
      </w:r>
      <w:r w:rsidRPr="00B1345C">
        <w:rPr>
          <w:rFonts w:ascii="Arial" w:hAnsi="Arial" w:cs="Arial"/>
          <w:i/>
          <w:iCs/>
          <w:noProof/>
          <w:sz w:val="24"/>
        </w:rPr>
        <w:t>Problemy Ekorozwoju</w:t>
      </w:r>
      <w:r w:rsidRPr="00B1345C">
        <w:rPr>
          <w:rFonts w:ascii="Arial" w:hAnsi="Arial" w:cs="Arial"/>
          <w:noProof/>
          <w:sz w:val="24"/>
        </w:rPr>
        <w:t xml:space="preserve">, </w:t>
      </w:r>
      <w:r w:rsidRPr="00B1345C">
        <w:rPr>
          <w:rFonts w:ascii="Arial" w:hAnsi="Arial" w:cs="Arial"/>
          <w:i/>
          <w:iCs/>
          <w:noProof/>
          <w:sz w:val="24"/>
        </w:rPr>
        <w:t>20</w:t>
      </w:r>
      <w:r w:rsidRPr="00B1345C">
        <w:rPr>
          <w:rFonts w:ascii="Arial" w:hAnsi="Arial" w:cs="Arial"/>
          <w:noProof/>
          <w:sz w:val="24"/>
        </w:rPr>
        <w:t>(1), 6–14. https://doi.org/10.35784/preko.6834</w:t>
      </w:r>
    </w:p>
    <w:p w14:paraId="7EAD8049"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Fahrizi, R. F., &amp; Saputra, H. E. (2023). Valuasi Perkebunanan Kelapa Sawit Dan Pemanfaatan Limbah Sebagai Peluang Bisnis Di Indonesia. </w:t>
      </w:r>
      <w:r w:rsidRPr="00B1345C">
        <w:rPr>
          <w:rFonts w:ascii="Arial" w:hAnsi="Arial" w:cs="Arial"/>
          <w:i/>
          <w:iCs/>
          <w:noProof/>
          <w:sz w:val="24"/>
        </w:rPr>
        <w:t>Al-Aflah</w:t>
      </w:r>
      <w:r w:rsidRPr="00B1345C">
        <w:rPr>
          <w:rFonts w:ascii="Arial" w:hAnsi="Arial" w:cs="Arial"/>
          <w:noProof/>
          <w:sz w:val="24"/>
        </w:rPr>
        <w:t xml:space="preserve">, </w:t>
      </w:r>
      <w:r w:rsidRPr="00B1345C">
        <w:rPr>
          <w:rFonts w:ascii="Arial" w:hAnsi="Arial" w:cs="Arial"/>
          <w:i/>
          <w:iCs/>
          <w:noProof/>
          <w:sz w:val="24"/>
        </w:rPr>
        <w:t>2</w:t>
      </w:r>
      <w:r w:rsidRPr="00B1345C">
        <w:rPr>
          <w:rFonts w:ascii="Arial" w:hAnsi="Arial" w:cs="Arial"/>
          <w:noProof/>
          <w:sz w:val="24"/>
        </w:rPr>
        <w:t>(2), 73–86. https://doi.org/10.23971/al-aflah.v2i2.6838</w:t>
      </w:r>
    </w:p>
    <w:p w14:paraId="611F790A"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Hafsari, T. A. (2024). Di Balik Konflik Sawit yang Tak Kunjung Usai: Hak, Kuasa, dan Kehidupan Masyarakat Lokal. </w:t>
      </w:r>
      <w:r w:rsidRPr="00B1345C">
        <w:rPr>
          <w:rFonts w:ascii="Arial" w:hAnsi="Arial" w:cs="Arial"/>
          <w:i/>
          <w:iCs/>
          <w:noProof/>
          <w:sz w:val="24"/>
        </w:rPr>
        <w:t>Jurnal Masyarakat Indonesia</w:t>
      </w:r>
      <w:r w:rsidRPr="00B1345C">
        <w:rPr>
          <w:rFonts w:ascii="Arial" w:hAnsi="Arial" w:cs="Arial"/>
          <w:noProof/>
          <w:sz w:val="24"/>
        </w:rPr>
        <w:t xml:space="preserve">, </w:t>
      </w:r>
      <w:r w:rsidRPr="00B1345C">
        <w:rPr>
          <w:rFonts w:ascii="Arial" w:hAnsi="Arial" w:cs="Arial"/>
          <w:i/>
          <w:iCs/>
          <w:noProof/>
          <w:sz w:val="24"/>
        </w:rPr>
        <w:t>50</w:t>
      </w:r>
      <w:r w:rsidRPr="00B1345C">
        <w:rPr>
          <w:rFonts w:ascii="Arial" w:hAnsi="Arial" w:cs="Arial"/>
          <w:noProof/>
          <w:sz w:val="24"/>
        </w:rPr>
        <w:t>(2), 335–344. https://doi.org/10.55981/jmi.2024.8897</w:t>
      </w:r>
    </w:p>
    <w:p w14:paraId="0F734CAD"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Hutabarat, S. (2017). Tantangan Keberlanjutan Perkebunan Kelapa Sawit Rakyat di Kabupaten Pelalawan Riau dalam Perubahan Perdagangan Global. </w:t>
      </w:r>
      <w:r w:rsidRPr="00B1345C">
        <w:rPr>
          <w:rFonts w:ascii="Arial" w:hAnsi="Arial" w:cs="Arial"/>
          <w:i/>
          <w:iCs/>
          <w:noProof/>
          <w:sz w:val="24"/>
        </w:rPr>
        <w:t>Jurnal Ilmu-Ilmu Sosial Indonesia</w:t>
      </w:r>
      <w:r w:rsidRPr="00B1345C">
        <w:rPr>
          <w:rFonts w:ascii="Arial" w:hAnsi="Arial" w:cs="Arial"/>
          <w:noProof/>
          <w:sz w:val="24"/>
        </w:rPr>
        <w:t xml:space="preserve">, </w:t>
      </w:r>
      <w:r w:rsidRPr="00B1345C">
        <w:rPr>
          <w:rFonts w:ascii="Arial" w:hAnsi="Arial" w:cs="Arial"/>
          <w:i/>
          <w:iCs/>
          <w:noProof/>
          <w:sz w:val="24"/>
        </w:rPr>
        <w:t>43</w:t>
      </w:r>
      <w:r w:rsidRPr="00B1345C">
        <w:rPr>
          <w:rFonts w:ascii="Arial" w:hAnsi="Arial" w:cs="Arial"/>
          <w:noProof/>
          <w:sz w:val="24"/>
        </w:rPr>
        <w:t>(1), 47–64.</w:t>
      </w:r>
    </w:p>
    <w:p w14:paraId="55514CBB"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Ikhsan, I., Hajad, V., &amp; Maulida, I. (2025). Paradoks Kemakmuran: Mengungkap Dampak Produksi Kelapa Sawit terhadap Kemiskinan di Pedesaan Indonesia. </w:t>
      </w:r>
      <w:r w:rsidRPr="00B1345C">
        <w:rPr>
          <w:rFonts w:ascii="Arial" w:hAnsi="Arial" w:cs="Arial"/>
          <w:i/>
          <w:iCs/>
          <w:noProof/>
          <w:sz w:val="24"/>
        </w:rPr>
        <w:t>Journal of Economics, Bussiness and Management Issues</w:t>
      </w:r>
      <w:r w:rsidRPr="00B1345C">
        <w:rPr>
          <w:rFonts w:ascii="Arial" w:hAnsi="Arial" w:cs="Arial"/>
          <w:noProof/>
          <w:sz w:val="24"/>
        </w:rPr>
        <w:t xml:space="preserve">, </w:t>
      </w:r>
      <w:r w:rsidRPr="00B1345C">
        <w:rPr>
          <w:rFonts w:ascii="Arial" w:hAnsi="Arial" w:cs="Arial"/>
          <w:i/>
          <w:iCs/>
          <w:noProof/>
          <w:sz w:val="24"/>
        </w:rPr>
        <w:t>2</w:t>
      </w:r>
      <w:r w:rsidRPr="00B1345C">
        <w:rPr>
          <w:rFonts w:ascii="Arial" w:hAnsi="Arial" w:cs="Arial"/>
          <w:noProof/>
          <w:sz w:val="24"/>
        </w:rPr>
        <w:t>(3), 273–286. https://doi.org/10.47134/jebmi.v2i3.638</w:t>
      </w:r>
    </w:p>
    <w:p w14:paraId="2AF99181"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Mardela, H. A., Apriza, K. N., Naufal, M. R., &amp; Almira, S. I. (2023). Analysis of Decision Making Dilemma on the Regulation of Palm Land Whitening in the Employment Copyright Law. </w:t>
      </w:r>
      <w:r w:rsidRPr="00B1345C">
        <w:rPr>
          <w:rFonts w:ascii="Arial" w:hAnsi="Arial" w:cs="Arial"/>
          <w:i/>
          <w:iCs/>
          <w:noProof/>
          <w:sz w:val="24"/>
        </w:rPr>
        <w:t>Journal of Social and Economics Research</w:t>
      </w:r>
      <w:r w:rsidRPr="00B1345C">
        <w:rPr>
          <w:rFonts w:ascii="Arial" w:hAnsi="Arial" w:cs="Arial"/>
          <w:noProof/>
          <w:sz w:val="24"/>
        </w:rPr>
        <w:t xml:space="preserve">, </w:t>
      </w:r>
      <w:r w:rsidRPr="00B1345C">
        <w:rPr>
          <w:rFonts w:ascii="Arial" w:hAnsi="Arial" w:cs="Arial"/>
          <w:i/>
          <w:iCs/>
          <w:noProof/>
          <w:sz w:val="24"/>
        </w:rPr>
        <w:t>5</w:t>
      </w:r>
      <w:r w:rsidRPr="00B1345C">
        <w:rPr>
          <w:rFonts w:ascii="Arial" w:hAnsi="Arial" w:cs="Arial"/>
          <w:noProof/>
          <w:sz w:val="24"/>
        </w:rPr>
        <w:t>(2), 759–767.</w:t>
      </w:r>
    </w:p>
    <w:p w14:paraId="434FC719"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Nainggolan, H. L., Marito Butar-Butar, K., Lawolo, O., Benget, J., Sitompul, M., &amp; Nainggolan, L. H. </w:t>
      </w:r>
      <w:r w:rsidRPr="00B1345C">
        <w:rPr>
          <w:rFonts w:ascii="Arial" w:hAnsi="Arial" w:cs="Arial"/>
          <w:noProof/>
          <w:sz w:val="24"/>
        </w:rPr>
        <w:t xml:space="preserve">(2024). Strategi Peningkatan Pemahaman Petani terhadap Sertifikasi ISPO-RSPO untuk Mendukung Sawit Rakyat Berkelanjutan. </w:t>
      </w:r>
      <w:r w:rsidRPr="00B1345C">
        <w:rPr>
          <w:rFonts w:ascii="Arial" w:hAnsi="Arial" w:cs="Arial"/>
          <w:i/>
          <w:iCs/>
          <w:noProof/>
          <w:sz w:val="24"/>
        </w:rPr>
        <w:t>Jurnal Agrikultura</w:t>
      </w:r>
      <w:r w:rsidRPr="00B1345C">
        <w:rPr>
          <w:rFonts w:ascii="Arial" w:hAnsi="Arial" w:cs="Arial"/>
          <w:noProof/>
          <w:sz w:val="24"/>
        </w:rPr>
        <w:t xml:space="preserve">, </w:t>
      </w:r>
      <w:r w:rsidRPr="00B1345C">
        <w:rPr>
          <w:rFonts w:ascii="Arial" w:hAnsi="Arial" w:cs="Arial"/>
          <w:i/>
          <w:iCs/>
          <w:noProof/>
          <w:sz w:val="24"/>
        </w:rPr>
        <w:t>2024</w:t>
      </w:r>
      <w:r w:rsidRPr="00B1345C">
        <w:rPr>
          <w:rFonts w:ascii="Arial" w:hAnsi="Arial" w:cs="Arial"/>
          <w:noProof/>
          <w:sz w:val="24"/>
        </w:rPr>
        <w:t>(3), 517–528.</w:t>
      </w:r>
    </w:p>
    <w:p w14:paraId="6695DDA0"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Noviandi Ginting, E. (2024). Pupuk Kimia, Pupuk Organik, Atau Pupuk Hayati ? Memahami Filosofi Pemupukan Untuk Perkebunan Kelapa Sawit Yang Berkelanjutan. </w:t>
      </w:r>
      <w:r w:rsidRPr="00B1345C">
        <w:rPr>
          <w:rFonts w:ascii="Arial" w:hAnsi="Arial" w:cs="Arial"/>
          <w:i/>
          <w:iCs/>
          <w:noProof/>
          <w:sz w:val="24"/>
        </w:rPr>
        <w:t>WARTA Pusat Penelitian Kelapa Sawit</w:t>
      </w:r>
      <w:r w:rsidRPr="00B1345C">
        <w:rPr>
          <w:rFonts w:ascii="Arial" w:hAnsi="Arial" w:cs="Arial"/>
          <w:noProof/>
          <w:sz w:val="24"/>
        </w:rPr>
        <w:t xml:space="preserve">, </w:t>
      </w:r>
      <w:r w:rsidRPr="00B1345C">
        <w:rPr>
          <w:rFonts w:ascii="Arial" w:hAnsi="Arial" w:cs="Arial"/>
          <w:i/>
          <w:iCs/>
          <w:noProof/>
          <w:sz w:val="24"/>
        </w:rPr>
        <w:t>29</w:t>
      </w:r>
      <w:r w:rsidRPr="00B1345C">
        <w:rPr>
          <w:rFonts w:ascii="Arial" w:hAnsi="Arial" w:cs="Arial"/>
          <w:noProof/>
          <w:sz w:val="24"/>
        </w:rPr>
        <w:t>(3), 147–160. https://doi.org/10.22302/iopri.war.warta.v29i3.159</w:t>
      </w:r>
    </w:p>
    <w:p w14:paraId="1E643146"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Nuriyatma, E., Budhiartie, A., &amp; Amir, L. (2025). </w:t>
      </w:r>
      <w:r w:rsidRPr="00B1345C">
        <w:rPr>
          <w:rFonts w:ascii="Arial" w:hAnsi="Arial" w:cs="Arial"/>
          <w:i/>
          <w:iCs/>
          <w:noProof/>
          <w:sz w:val="24"/>
        </w:rPr>
        <w:t>Peran Hukum dalam Pengelolaan dan Perlindungan Lahan Gambut</w:t>
      </w:r>
      <w:r w:rsidRPr="00B1345C">
        <w:rPr>
          <w:rFonts w:ascii="Arial" w:hAnsi="Arial" w:cs="Arial"/>
          <w:noProof/>
          <w:sz w:val="24"/>
        </w:rPr>
        <w:t xml:space="preserve">. </w:t>
      </w:r>
      <w:r w:rsidRPr="00B1345C">
        <w:rPr>
          <w:rFonts w:ascii="Arial" w:hAnsi="Arial" w:cs="Arial"/>
          <w:i/>
          <w:iCs/>
          <w:noProof/>
          <w:sz w:val="24"/>
        </w:rPr>
        <w:t>8</w:t>
      </w:r>
      <w:r w:rsidRPr="00B1345C">
        <w:rPr>
          <w:rFonts w:ascii="Arial" w:hAnsi="Arial" w:cs="Arial"/>
          <w:noProof/>
          <w:sz w:val="24"/>
        </w:rPr>
        <w:t>(2), 4–5.</w:t>
      </w:r>
    </w:p>
    <w:p w14:paraId="04C2FE5C"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Pambudi, A. S. (2025). Aksiologi Pengembangan Sawit : Etika dan Nilai dalam Pembangunan Berkelanjutan Mengenai Dampak Lingkungan ( AMDAL ) guna memastikan praktik produksi yang Dalam rangka meningkatkan standar keberlanjutan industri ini , Pemerintah Indonesia dalam Peraturan P. </w:t>
      </w:r>
      <w:r w:rsidRPr="00B1345C">
        <w:rPr>
          <w:rFonts w:ascii="Arial" w:hAnsi="Arial" w:cs="Arial"/>
          <w:i/>
          <w:iCs/>
          <w:noProof/>
          <w:sz w:val="24"/>
        </w:rPr>
        <w:t>Journal Transformation of Mandalika</w:t>
      </w:r>
      <w:r w:rsidRPr="00B1345C">
        <w:rPr>
          <w:rFonts w:ascii="Arial" w:hAnsi="Arial" w:cs="Arial"/>
          <w:noProof/>
          <w:sz w:val="24"/>
        </w:rPr>
        <w:t xml:space="preserve">, </w:t>
      </w:r>
      <w:r w:rsidRPr="00B1345C">
        <w:rPr>
          <w:rFonts w:ascii="Arial" w:hAnsi="Arial" w:cs="Arial"/>
          <w:i/>
          <w:iCs/>
          <w:noProof/>
          <w:sz w:val="24"/>
        </w:rPr>
        <w:t>6</w:t>
      </w:r>
      <w:r w:rsidRPr="00B1345C">
        <w:rPr>
          <w:rFonts w:ascii="Arial" w:hAnsi="Arial" w:cs="Arial"/>
          <w:noProof/>
          <w:sz w:val="24"/>
        </w:rPr>
        <w:t>(3), 113–124.</w:t>
      </w:r>
    </w:p>
    <w:p w14:paraId="47A4BE2D"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Pasaribu, J., Tambunan, E., Prasetya, D. S. B., &amp; Lahagu, A. (2025). Lingkungan dan Iman: Edukasi Deep Ecology dalam Perspektif Ekoteologi di GBI My Home Tanjung Uban. </w:t>
      </w:r>
      <w:r w:rsidRPr="00B1345C">
        <w:rPr>
          <w:rFonts w:ascii="Arial" w:hAnsi="Arial" w:cs="Arial"/>
          <w:i/>
          <w:iCs/>
          <w:noProof/>
          <w:sz w:val="24"/>
        </w:rPr>
        <w:t>Journal Of Society Empowerment Publications</w:t>
      </w:r>
      <w:r w:rsidRPr="00B1345C">
        <w:rPr>
          <w:rFonts w:ascii="Arial" w:hAnsi="Arial" w:cs="Arial"/>
          <w:noProof/>
          <w:sz w:val="24"/>
        </w:rPr>
        <w:t xml:space="preserve">, </w:t>
      </w:r>
      <w:r w:rsidRPr="00B1345C">
        <w:rPr>
          <w:rFonts w:ascii="Arial" w:hAnsi="Arial" w:cs="Arial"/>
          <w:i/>
          <w:iCs/>
          <w:noProof/>
          <w:sz w:val="24"/>
        </w:rPr>
        <w:t>2</w:t>
      </w:r>
      <w:r w:rsidRPr="00B1345C">
        <w:rPr>
          <w:rFonts w:ascii="Arial" w:hAnsi="Arial" w:cs="Arial"/>
          <w:noProof/>
          <w:sz w:val="24"/>
        </w:rPr>
        <w:t>(1), 35–47. https://doi.org/10.69668/josep.v2i1.77</w:t>
      </w:r>
    </w:p>
    <w:p w14:paraId="1620AB60"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Pemberian. (2023). Analisis Konflik Sawit Melalui Lensa Etika Kepedulian-Relasional dan Upaya Pembangunan Perdamaian. </w:t>
      </w:r>
      <w:r w:rsidRPr="00B1345C">
        <w:rPr>
          <w:rFonts w:ascii="Arial" w:hAnsi="Arial" w:cs="Arial"/>
          <w:i/>
          <w:iCs/>
          <w:noProof/>
          <w:sz w:val="24"/>
        </w:rPr>
        <w:t xml:space="preserve">Aradha: Journal of Divinity, Peace and Conflict </w:t>
      </w:r>
      <w:r w:rsidRPr="00B1345C">
        <w:rPr>
          <w:rFonts w:ascii="Arial" w:hAnsi="Arial" w:cs="Arial"/>
          <w:i/>
          <w:iCs/>
          <w:noProof/>
          <w:sz w:val="24"/>
        </w:rPr>
        <w:lastRenderedPageBreak/>
        <w:t>Studies</w:t>
      </w:r>
      <w:r w:rsidRPr="00B1345C">
        <w:rPr>
          <w:rFonts w:ascii="Arial" w:hAnsi="Arial" w:cs="Arial"/>
          <w:noProof/>
          <w:sz w:val="24"/>
        </w:rPr>
        <w:t xml:space="preserve">, </w:t>
      </w:r>
      <w:r w:rsidRPr="00B1345C">
        <w:rPr>
          <w:rFonts w:ascii="Arial" w:hAnsi="Arial" w:cs="Arial"/>
          <w:i/>
          <w:iCs/>
          <w:noProof/>
          <w:sz w:val="24"/>
        </w:rPr>
        <w:t>3</w:t>
      </w:r>
      <w:r w:rsidRPr="00B1345C">
        <w:rPr>
          <w:rFonts w:ascii="Arial" w:hAnsi="Arial" w:cs="Arial"/>
          <w:noProof/>
          <w:sz w:val="24"/>
        </w:rPr>
        <w:t>(2). https://doi.org/10.21460/aradha.2023.32.1268</w:t>
      </w:r>
    </w:p>
    <w:p w14:paraId="7E5B5258"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Priyono, B. B., Purwantara, S., &amp; Widyastuti, W. (2025). Biosentrisme dan Ekosentrisme: Alternatif Pandangan Filsafat Lingkungan terhadap Krisis Alam di Era Antroposentrisme. </w:t>
      </w:r>
      <w:r w:rsidRPr="00B1345C">
        <w:rPr>
          <w:rFonts w:ascii="Arial" w:hAnsi="Arial" w:cs="Arial"/>
          <w:i/>
          <w:iCs/>
          <w:noProof/>
          <w:sz w:val="24"/>
        </w:rPr>
        <w:t>Jurnal Filsafat Indonesia</w:t>
      </w:r>
      <w:r w:rsidRPr="00B1345C">
        <w:rPr>
          <w:rFonts w:ascii="Arial" w:hAnsi="Arial" w:cs="Arial"/>
          <w:noProof/>
          <w:sz w:val="24"/>
        </w:rPr>
        <w:t xml:space="preserve">, </w:t>
      </w:r>
      <w:r w:rsidRPr="00B1345C">
        <w:rPr>
          <w:rFonts w:ascii="Arial" w:hAnsi="Arial" w:cs="Arial"/>
          <w:i/>
          <w:iCs/>
          <w:noProof/>
          <w:sz w:val="24"/>
        </w:rPr>
        <w:t>8</w:t>
      </w:r>
      <w:r w:rsidRPr="00B1345C">
        <w:rPr>
          <w:rFonts w:ascii="Arial" w:hAnsi="Arial" w:cs="Arial"/>
          <w:noProof/>
          <w:sz w:val="24"/>
        </w:rPr>
        <w:t>(2), 280–290. https://doi.org/10.23887/jfi.v8i2.88217</w:t>
      </w:r>
    </w:p>
    <w:p w14:paraId="1072FD52"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Purba, J. H. V., &amp; Sipayung, T. (2017). Perkebunan Kelapa Sawit Indonesia Dalam Perspektif Pembangunan Berkelanjutan. </w:t>
      </w:r>
      <w:r w:rsidRPr="00B1345C">
        <w:rPr>
          <w:rFonts w:ascii="Arial" w:hAnsi="Arial" w:cs="Arial"/>
          <w:i/>
          <w:iCs/>
          <w:noProof/>
          <w:sz w:val="24"/>
        </w:rPr>
        <w:t>Jurnal Ilmu-Ilmu Sosial Indonesia</w:t>
      </w:r>
      <w:r w:rsidRPr="00B1345C">
        <w:rPr>
          <w:rFonts w:ascii="Arial" w:hAnsi="Arial" w:cs="Arial"/>
          <w:noProof/>
          <w:sz w:val="24"/>
        </w:rPr>
        <w:t xml:space="preserve">, </w:t>
      </w:r>
      <w:r w:rsidRPr="00B1345C">
        <w:rPr>
          <w:rFonts w:ascii="Arial" w:hAnsi="Arial" w:cs="Arial"/>
          <w:i/>
          <w:iCs/>
          <w:noProof/>
          <w:sz w:val="24"/>
        </w:rPr>
        <w:t>43</w:t>
      </w:r>
      <w:r w:rsidRPr="00B1345C">
        <w:rPr>
          <w:rFonts w:ascii="Arial" w:hAnsi="Arial" w:cs="Arial"/>
          <w:noProof/>
          <w:sz w:val="24"/>
        </w:rPr>
        <w:t>(1), 81–94.</w:t>
      </w:r>
    </w:p>
    <w:p w14:paraId="266CF64D"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Rahma, A. A., Naj’la, Sarita, W. R., Pelly, D. A., &amp; Zilvina. (2021). Pengelolaan Tanah Gambut dalam Menghadapi Tantangan Lingkungan dan Sosial. </w:t>
      </w:r>
      <w:r w:rsidRPr="00B1345C">
        <w:rPr>
          <w:rFonts w:ascii="Arial" w:hAnsi="Arial" w:cs="Arial"/>
          <w:i/>
          <w:iCs/>
          <w:noProof/>
          <w:sz w:val="24"/>
        </w:rPr>
        <w:t>Psikosospen : Jurnal Psikososial Dan Pendidikan</w:t>
      </w:r>
      <w:r w:rsidRPr="00B1345C">
        <w:rPr>
          <w:rFonts w:ascii="Arial" w:hAnsi="Arial" w:cs="Arial"/>
          <w:noProof/>
          <w:sz w:val="24"/>
        </w:rPr>
        <w:t xml:space="preserve">, </w:t>
      </w:r>
      <w:r w:rsidRPr="00B1345C">
        <w:rPr>
          <w:rFonts w:ascii="Arial" w:hAnsi="Arial" w:cs="Arial"/>
          <w:i/>
          <w:iCs/>
          <w:noProof/>
          <w:sz w:val="24"/>
        </w:rPr>
        <w:t>1</w:t>
      </w:r>
      <w:r w:rsidRPr="00B1345C">
        <w:rPr>
          <w:rFonts w:ascii="Arial" w:hAnsi="Arial" w:cs="Arial"/>
          <w:noProof/>
          <w:sz w:val="24"/>
        </w:rPr>
        <w:t>(2), 167–186.</w:t>
      </w:r>
    </w:p>
    <w:p w14:paraId="3D31B4B3"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Rais, M. Z., Rizal, T., Pratama, F. K., &amp; Syahputra, H. (2025). Analisis Metode dan Struktur serta Tujuan Pembahasan Filsafat. </w:t>
      </w:r>
      <w:r w:rsidRPr="00B1345C">
        <w:rPr>
          <w:rFonts w:ascii="Arial" w:hAnsi="Arial" w:cs="Arial"/>
          <w:i/>
          <w:iCs/>
          <w:noProof/>
          <w:sz w:val="24"/>
        </w:rPr>
        <w:t>INNOVATIVE: Journal Of Social Science Research</w:t>
      </w:r>
      <w:r w:rsidRPr="00B1345C">
        <w:rPr>
          <w:rFonts w:ascii="Arial" w:hAnsi="Arial" w:cs="Arial"/>
          <w:noProof/>
          <w:sz w:val="24"/>
        </w:rPr>
        <w:t xml:space="preserve">, </w:t>
      </w:r>
      <w:r w:rsidRPr="00B1345C">
        <w:rPr>
          <w:rFonts w:ascii="Arial" w:hAnsi="Arial" w:cs="Arial"/>
          <w:i/>
          <w:iCs/>
          <w:noProof/>
          <w:sz w:val="24"/>
        </w:rPr>
        <w:t>5</w:t>
      </w:r>
      <w:r w:rsidRPr="00B1345C">
        <w:rPr>
          <w:rFonts w:ascii="Arial" w:hAnsi="Arial" w:cs="Arial"/>
          <w:noProof/>
          <w:sz w:val="24"/>
        </w:rPr>
        <w:t>(1), 5460–5470.</w:t>
      </w:r>
    </w:p>
    <w:p w14:paraId="36EE10DE"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Ramadhan, L. P. (2025). Analisis Deforestasi dan Degradasi Terhadap Lingkungan Hidup. </w:t>
      </w:r>
      <w:r w:rsidRPr="00B1345C">
        <w:rPr>
          <w:rFonts w:ascii="Arial" w:hAnsi="Arial" w:cs="Arial"/>
          <w:i/>
          <w:iCs/>
          <w:noProof/>
          <w:sz w:val="24"/>
        </w:rPr>
        <w:t>BELEID: Journal of Administrative Law and Public Policy</w:t>
      </w:r>
      <w:r w:rsidRPr="00B1345C">
        <w:rPr>
          <w:rFonts w:ascii="Arial" w:hAnsi="Arial" w:cs="Arial"/>
          <w:noProof/>
          <w:sz w:val="24"/>
        </w:rPr>
        <w:t xml:space="preserve">, </w:t>
      </w:r>
      <w:r w:rsidRPr="00B1345C">
        <w:rPr>
          <w:rFonts w:ascii="Arial" w:hAnsi="Arial" w:cs="Arial"/>
          <w:i/>
          <w:iCs/>
          <w:noProof/>
          <w:sz w:val="24"/>
        </w:rPr>
        <w:t>3</w:t>
      </w:r>
      <w:r w:rsidRPr="00B1345C">
        <w:rPr>
          <w:rFonts w:ascii="Arial" w:hAnsi="Arial" w:cs="Arial"/>
          <w:noProof/>
          <w:sz w:val="24"/>
        </w:rPr>
        <w:t>(1), 91–109.</w:t>
      </w:r>
    </w:p>
    <w:p w14:paraId="6609E651"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Ramadhan, M. A., Azhari, M. A., Fikri, M., &amp; Satriawan, R. (2024). </w:t>
      </w:r>
      <w:r w:rsidRPr="00B1345C">
        <w:rPr>
          <w:rFonts w:ascii="Arial" w:hAnsi="Arial" w:cs="Arial"/>
          <w:i/>
          <w:iCs/>
          <w:noProof/>
          <w:sz w:val="24"/>
        </w:rPr>
        <w:t>Tinjauan Yuridis Reforma Agraria dalam Perspektif Perlindungan Hukum Petani</w:t>
      </w:r>
      <w:r w:rsidRPr="00B1345C">
        <w:rPr>
          <w:rFonts w:ascii="Arial" w:hAnsi="Arial" w:cs="Arial"/>
          <w:noProof/>
          <w:sz w:val="24"/>
        </w:rPr>
        <w:t xml:space="preserve">. </w:t>
      </w:r>
      <w:r w:rsidRPr="00B1345C">
        <w:rPr>
          <w:rFonts w:ascii="Arial" w:hAnsi="Arial" w:cs="Arial"/>
          <w:i/>
          <w:iCs/>
          <w:noProof/>
          <w:sz w:val="24"/>
        </w:rPr>
        <w:t>3</w:t>
      </w:r>
      <w:r w:rsidRPr="00B1345C">
        <w:rPr>
          <w:rFonts w:ascii="Arial" w:hAnsi="Arial" w:cs="Arial"/>
          <w:noProof/>
          <w:sz w:val="24"/>
        </w:rPr>
        <w:t>(6), 8699–8705.</w:t>
      </w:r>
    </w:p>
    <w:p w14:paraId="24D5B12E"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Rumimpunu, A. O. O., Kalalo, F. P., &amp; Sondakh, J. (2020). Kajian Hukum Konservasi Sumber Daya Alam Hayati dan Ekosistemnya di Indonesia. </w:t>
      </w:r>
      <w:r w:rsidRPr="00B1345C">
        <w:rPr>
          <w:rFonts w:ascii="Arial" w:hAnsi="Arial" w:cs="Arial"/>
          <w:i/>
          <w:iCs/>
          <w:noProof/>
          <w:sz w:val="24"/>
        </w:rPr>
        <w:t>Lex Et Societatis</w:t>
      </w:r>
      <w:r w:rsidRPr="00B1345C">
        <w:rPr>
          <w:rFonts w:ascii="Arial" w:hAnsi="Arial" w:cs="Arial"/>
          <w:noProof/>
          <w:sz w:val="24"/>
        </w:rPr>
        <w:t xml:space="preserve">, </w:t>
      </w:r>
      <w:r w:rsidRPr="00B1345C">
        <w:rPr>
          <w:rFonts w:ascii="Arial" w:hAnsi="Arial" w:cs="Arial"/>
          <w:i/>
          <w:iCs/>
          <w:noProof/>
          <w:sz w:val="24"/>
        </w:rPr>
        <w:t>VIII</w:t>
      </w:r>
      <w:r w:rsidRPr="00B1345C">
        <w:rPr>
          <w:rFonts w:ascii="Arial" w:hAnsi="Arial" w:cs="Arial"/>
          <w:noProof/>
          <w:sz w:val="24"/>
        </w:rPr>
        <w:t>(4), 5–12.</w:t>
      </w:r>
    </w:p>
    <w:p w14:paraId="34FAFFF0"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Setiawibawa, R., Hidayat, M. I., &amp; Widiyati, S. C. (2024). </w:t>
      </w:r>
      <w:r w:rsidRPr="00B1345C">
        <w:rPr>
          <w:rFonts w:ascii="Arial" w:hAnsi="Arial" w:cs="Arial"/>
          <w:i/>
          <w:iCs/>
          <w:noProof/>
          <w:sz w:val="24"/>
        </w:rPr>
        <w:t>Biofuel: Potensi Dan Isu Sosial Serta Kebijakannya</w:t>
      </w:r>
      <w:r w:rsidRPr="00B1345C">
        <w:rPr>
          <w:rFonts w:ascii="Arial" w:hAnsi="Arial" w:cs="Arial"/>
          <w:noProof/>
          <w:sz w:val="24"/>
        </w:rPr>
        <w:t>. Malang.</w:t>
      </w:r>
    </w:p>
    <w:p w14:paraId="1C3965F1"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Sheebakayla, R. (2024). Penegakan Hukum terhadap Pelaku Pembukaan Lahan yang Menyebabkan Kebakaran Hutan. </w:t>
      </w:r>
      <w:r w:rsidRPr="00B1345C">
        <w:rPr>
          <w:rFonts w:ascii="Arial" w:hAnsi="Arial" w:cs="Arial"/>
          <w:i/>
          <w:iCs/>
          <w:noProof/>
          <w:sz w:val="24"/>
        </w:rPr>
        <w:t>Savana: Indonesian Journal of Natural Resources and Environmental Law</w:t>
      </w:r>
      <w:r w:rsidRPr="00B1345C">
        <w:rPr>
          <w:rFonts w:ascii="Arial" w:hAnsi="Arial" w:cs="Arial"/>
          <w:noProof/>
          <w:sz w:val="24"/>
        </w:rPr>
        <w:t xml:space="preserve">, </w:t>
      </w:r>
      <w:r w:rsidRPr="00B1345C">
        <w:rPr>
          <w:rFonts w:ascii="Arial" w:hAnsi="Arial" w:cs="Arial"/>
          <w:i/>
          <w:iCs/>
          <w:noProof/>
          <w:sz w:val="24"/>
        </w:rPr>
        <w:t>1</w:t>
      </w:r>
      <w:r w:rsidRPr="00B1345C">
        <w:rPr>
          <w:rFonts w:ascii="Arial" w:hAnsi="Arial" w:cs="Arial"/>
          <w:noProof/>
          <w:sz w:val="24"/>
        </w:rPr>
        <w:t>(2), 133–144. https://doi.org/10.25134/savana.v1i2.146</w:t>
      </w:r>
    </w:p>
    <w:p w14:paraId="61089A87"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Trase &amp; Stockholm Environment Institute. (2024). </w:t>
      </w:r>
      <w:r w:rsidRPr="00B1345C">
        <w:rPr>
          <w:rFonts w:ascii="Arial" w:hAnsi="Arial" w:cs="Arial"/>
          <w:i/>
          <w:iCs/>
          <w:noProof/>
          <w:sz w:val="24"/>
        </w:rPr>
        <w:t>Indonesian palm oil exports and deforestation: Insights and analysis 2024–2025</w:t>
      </w:r>
      <w:r w:rsidRPr="00B1345C">
        <w:rPr>
          <w:rFonts w:ascii="Arial" w:hAnsi="Arial" w:cs="Arial"/>
          <w:noProof/>
          <w:sz w:val="24"/>
        </w:rPr>
        <w:t>.</w:t>
      </w:r>
    </w:p>
    <w:p w14:paraId="221D0DED"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Tsiwiyati, D. N. (2024). Transformasi Industri Kelapa Sawit: Hilirisasi Berkelanjutan Menghadapi Daya Saing Global dan Ekonomi Hijau. </w:t>
      </w:r>
      <w:r w:rsidRPr="00B1345C">
        <w:rPr>
          <w:rFonts w:ascii="Arial" w:hAnsi="Arial" w:cs="Arial"/>
          <w:i/>
          <w:iCs/>
          <w:noProof/>
          <w:sz w:val="24"/>
        </w:rPr>
        <w:t>Jurnal Esensi Hukum</w:t>
      </w:r>
      <w:r w:rsidRPr="00B1345C">
        <w:rPr>
          <w:rFonts w:ascii="Arial" w:hAnsi="Arial" w:cs="Arial"/>
          <w:noProof/>
          <w:sz w:val="24"/>
        </w:rPr>
        <w:t xml:space="preserve">, </w:t>
      </w:r>
      <w:r w:rsidRPr="00B1345C">
        <w:rPr>
          <w:rFonts w:ascii="Arial" w:hAnsi="Arial" w:cs="Arial"/>
          <w:i/>
          <w:iCs/>
          <w:noProof/>
          <w:sz w:val="24"/>
        </w:rPr>
        <w:t>6</w:t>
      </w:r>
      <w:r w:rsidRPr="00B1345C">
        <w:rPr>
          <w:rFonts w:ascii="Arial" w:hAnsi="Arial" w:cs="Arial"/>
          <w:noProof/>
          <w:sz w:val="24"/>
        </w:rPr>
        <w:t>(2). https://doi.org/10.36841/growth-journal.v21i2.3971</w:t>
      </w:r>
    </w:p>
    <w:p w14:paraId="4FAC119E"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USDA Foreign Agricultural Service. (2024). </w:t>
      </w:r>
      <w:r w:rsidRPr="00B1345C">
        <w:rPr>
          <w:rFonts w:ascii="Arial" w:hAnsi="Arial" w:cs="Arial"/>
          <w:i/>
          <w:iCs/>
          <w:noProof/>
          <w:sz w:val="24"/>
        </w:rPr>
        <w:t>Indonesia palm oil area, yield and production: Outlook 2024/2025 [Data set].</w:t>
      </w:r>
    </w:p>
    <w:p w14:paraId="172CB00B" w14:textId="77777777" w:rsidR="00B1345C" w:rsidRPr="00B1345C" w:rsidRDefault="00B1345C" w:rsidP="0034175F">
      <w:pPr>
        <w:widowControl w:val="0"/>
        <w:autoSpaceDE w:val="0"/>
        <w:autoSpaceDN w:val="0"/>
        <w:adjustRightInd w:val="0"/>
        <w:spacing w:after="0" w:line="240" w:lineRule="auto"/>
        <w:ind w:left="480" w:hanging="480"/>
        <w:jc w:val="both"/>
        <w:rPr>
          <w:rFonts w:ascii="Arial" w:hAnsi="Arial" w:cs="Arial"/>
          <w:noProof/>
          <w:sz w:val="24"/>
        </w:rPr>
      </w:pPr>
      <w:r w:rsidRPr="00B1345C">
        <w:rPr>
          <w:rFonts w:ascii="Arial" w:hAnsi="Arial" w:cs="Arial"/>
          <w:noProof/>
          <w:sz w:val="24"/>
        </w:rPr>
        <w:t xml:space="preserve">Wahyuni, H., &amp; Suranto, S. (2021). Dampak Deforestasi Hutan Skala Besar terhadap Pemanasan Global di Indonesia. </w:t>
      </w:r>
      <w:r w:rsidRPr="00B1345C">
        <w:rPr>
          <w:rFonts w:ascii="Arial" w:hAnsi="Arial" w:cs="Arial"/>
          <w:i/>
          <w:iCs/>
          <w:noProof/>
          <w:sz w:val="24"/>
        </w:rPr>
        <w:t>JIIP: Jurnal Ilmiah Ilmu Pemerintahan</w:t>
      </w:r>
      <w:r w:rsidRPr="00B1345C">
        <w:rPr>
          <w:rFonts w:ascii="Arial" w:hAnsi="Arial" w:cs="Arial"/>
          <w:noProof/>
          <w:sz w:val="24"/>
        </w:rPr>
        <w:t xml:space="preserve">, </w:t>
      </w:r>
      <w:r w:rsidRPr="00B1345C">
        <w:rPr>
          <w:rFonts w:ascii="Arial" w:hAnsi="Arial" w:cs="Arial"/>
          <w:i/>
          <w:iCs/>
          <w:noProof/>
          <w:sz w:val="24"/>
        </w:rPr>
        <w:t>6</w:t>
      </w:r>
      <w:r w:rsidRPr="00B1345C">
        <w:rPr>
          <w:rFonts w:ascii="Arial" w:hAnsi="Arial" w:cs="Arial"/>
          <w:noProof/>
          <w:sz w:val="24"/>
        </w:rPr>
        <w:t>(1), 148–162. https://doi.org/10.14710/jiip.v6i1.10083</w:t>
      </w:r>
    </w:p>
    <w:p w14:paraId="40286E5D" w14:textId="6871DD6F" w:rsidR="00FA1157" w:rsidRPr="00E45CA6" w:rsidRDefault="00B1345C" w:rsidP="0034175F">
      <w:pPr>
        <w:spacing w:after="0" w:line="240" w:lineRule="auto"/>
        <w:jc w:val="both"/>
        <w:rPr>
          <w:rFonts w:ascii="Arial" w:hAnsi="Arial" w:cs="Arial"/>
          <w:noProof/>
          <w:sz w:val="24"/>
          <w:szCs w:val="24"/>
          <w:lang w:val="en-ID"/>
        </w:rPr>
      </w:pPr>
      <w:r>
        <w:rPr>
          <w:rFonts w:ascii="Arial" w:hAnsi="Arial" w:cs="Arial"/>
          <w:noProof/>
          <w:sz w:val="24"/>
          <w:szCs w:val="24"/>
          <w:lang w:val="en-ID"/>
        </w:rPr>
        <w:fldChar w:fldCharType="end"/>
      </w:r>
    </w:p>
    <w:sectPr w:rsidR="00FA1157" w:rsidRPr="00E45CA6"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769D4" w14:textId="77777777" w:rsidR="00F84E01" w:rsidRDefault="00F84E01" w:rsidP="00F54741">
      <w:pPr>
        <w:spacing w:after="0" w:line="240" w:lineRule="auto"/>
      </w:pPr>
      <w:r>
        <w:separator/>
      </w:r>
    </w:p>
  </w:endnote>
  <w:endnote w:type="continuationSeparator" w:id="0">
    <w:p w14:paraId="337019C9" w14:textId="77777777" w:rsidR="00F84E01" w:rsidRDefault="00F84E01"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C1C46" w14:textId="77777777" w:rsidR="00912BA1" w:rsidRDefault="00912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46938D8F"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59B633C8" wp14:editId="3DED7418">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25AA7CF8"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31467" w14:textId="77777777" w:rsidR="00912BA1" w:rsidRDefault="00912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2C076" w14:textId="77777777" w:rsidR="00F84E01" w:rsidRDefault="00F84E01" w:rsidP="00F54741">
      <w:pPr>
        <w:spacing w:after="0" w:line="240" w:lineRule="auto"/>
      </w:pPr>
      <w:r>
        <w:separator/>
      </w:r>
    </w:p>
  </w:footnote>
  <w:footnote w:type="continuationSeparator" w:id="0">
    <w:p w14:paraId="0EE7313A" w14:textId="77777777" w:rsidR="00F84E01" w:rsidRDefault="00F84E01"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22B86" w14:textId="77777777" w:rsidR="00912BA1" w:rsidRDefault="00912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2D3FA" w14:textId="77777777" w:rsidR="00912BA1" w:rsidRDefault="00912BA1" w:rsidP="00912BA1">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7FEAD749" w14:textId="77777777" w:rsidR="00912BA1" w:rsidRDefault="00912BA1" w:rsidP="00912BA1">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6F5217EF" w14:textId="77777777" w:rsidR="00912BA1" w:rsidRDefault="00912BA1" w:rsidP="00912BA1">
    <w:pPr>
      <w:spacing w:after="0" w:line="240" w:lineRule="auto"/>
      <w:jc w:val="right"/>
      <w:rPr>
        <w:rFonts w:ascii="Arial" w:eastAsia="Arial" w:hAnsi="Arial"/>
        <w:b/>
        <w:i/>
        <w:sz w:val="24"/>
        <w:szCs w:val="24"/>
        <w:lang w:val="id-ID"/>
      </w:rPr>
    </w:pPr>
    <w:r>
      <w:rPr>
        <w:rFonts w:ascii="Arial" w:eastAsia="Arial" w:hAnsi="Arial"/>
        <w:b/>
        <w:i/>
        <w:sz w:val="24"/>
        <w:szCs w:val="24"/>
      </w:rPr>
      <w:t xml:space="preserve">Volume </w:t>
    </w:r>
    <w:r>
      <w:rPr>
        <w:rFonts w:ascii="Arial" w:eastAsia="Arial" w:hAnsi="Arial"/>
        <w:b/>
        <w:i/>
        <w:sz w:val="24"/>
        <w:szCs w:val="24"/>
        <w:lang w:val="id-ID"/>
      </w:rPr>
      <w:t>10</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Pr>
        <w:rFonts w:ascii="Arial" w:eastAsia="Arial" w:hAnsi="Arial"/>
        <w:b/>
        <w:i/>
        <w:sz w:val="24"/>
        <w:szCs w:val="24"/>
        <w:lang w:val="id-ID"/>
      </w:rPr>
      <w:t>04</w:t>
    </w:r>
    <w:r>
      <w:rPr>
        <w:rFonts w:ascii="Arial" w:eastAsia="Arial" w:hAnsi="Arial"/>
        <w:b/>
        <w:i/>
        <w:sz w:val="24"/>
        <w:szCs w:val="24"/>
      </w:rPr>
      <w:t xml:space="preserve">, </w:t>
    </w:r>
    <w:r>
      <w:rPr>
        <w:rFonts w:ascii="Arial" w:eastAsia="Arial" w:hAnsi="Arial"/>
        <w:b/>
        <w:i/>
        <w:sz w:val="24"/>
        <w:szCs w:val="24"/>
        <w:lang w:val="id-ID"/>
      </w:rPr>
      <w:t>Desember 2025</w:t>
    </w:r>
  </w:p>
  <w:p w14:paraId="62201EBF" w14:textId="0D939006" w:rsidR="00FA1157" w:rsidRPr="00912BA1" w:rsidRDefault="00912BA1" w:rsidP="00912BA1">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31909CF9" wp14:editId="54541843">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B7668"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87449" w14:textId="77777777" w:rsidR="00912BA1" w:rsidRDefault="00912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8768C"/>
    <w:multiLevelType w:val="hybridMultilevel"/>
    <w:tmpl w:val="FA46EA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C2349A2"/>
    <w:multiLevelType w:val="hybridMultilevel"/>
    <w:tmpl w:val="860E4704"/>
    <w:lvl w:ilvl="0" w:tplc="0421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B44028"/>
    <w:multiLevelType w:val="hybridMultilevel"/>
    <w:tmpl w:val="0E508EF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33223"/>
    <w:rsid w:val="00095774"/>
    <w:rsid w:val="000B27BD"/>
    <w:rsid w:val="000F40B0"/>
    <w:rsid w:val="001A77C7"/>
    <w:rsid w:val="001B66BD"/>
    <w:rsid w:val="0023178D"/>
    <w:rsid w:val="00287E18"/>
    <w:rsid w:val="0034175F"/>
    <w:rsid w:val="00361FF9"/>
    <w:rsid w:val="003F45BB"/>
    <w:rsid w:val="00406F71"/>
    <w:rsid w:val="0042703F"/>
    <w:rsid w:val="00456D92"/>
    <w:rsid w:val="0048592F"/>
    <w:rsid w:val="00506846"/>
    <w:rsid w:val="00533214"/>
    <w:rsid w:val="00552E61"/>
    <w:rsid w:val="00575CA2"/>
    <w:rsid w:val="005C600E"/>
    <w:rsid w:val="005C63B3"/>
    <w:rsid w:val="005F67F2"/>
    <w:rsid w:val="007105ED"/>
    <w:rsid w:val="0081771C"/>
    <w:rsid w:val="00817F21"/>
    <w:rsid w:val="00873DFB"/>
    <w:rsid w:val="0088306E"/>
    <w:rsid w:val="008D7A3B"/>
    <w:rsid w:val="00912BA1"/>
    <w:rsid w:val="00941341"/>
    <w:rsid w:val="00974CC0"/>
    <w:rsid w:val="009A5ADB"/>
    <w:rsid w:val="009A5C88"/>
    <w:rsid w:val="009D106B"/>
    <w:rsid w:val="009D6DF5"/>
    <w:rsid w:val="00A672F3"/>
    <w:rsid w:val="00AD499B"/>
    <w:rsid w:val="00B1345C"/>
    <w:rsid w:val="00B57584"/>
    <w:rsid w:val="00B80134"/>
    <w:rsid w:val="00B9551B"/>
    <w:rsid w:val="00BF4041"/>
    <w:rsid w:val="00C2018F"/>
    <w:rsid w:val="00C25730"/>
    <w:rsid w:val="00CD0660"/>
    <w:rsid w:val="00E45CA6"/>
    <w:rsid w:val="00F54741"/>
    <w:rsid w:val="00F7393C"/>
    <w:rsid w:val="00F84E01"/>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86BC6"/>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873DFB"/>
    <w:rPr>
      <w:color w:val="605E5C"/>
      <w:shd w:val="clear" w:color="auto" w:fill="E1DFDD"/>
    </w:rPr>
  </w:style>
  <w:style w:type="table" w:styleId="TableGrid">
    <w:name w:val="Table Grid"/>
    <w:basedOn w:val="TableNormal"/>
    <w:uiPriority w:val="39"/>
    <w:rsid w:val="009A5C88"/>
    <w:pPr>
      <w:spacing w:after="0" w:line="240" w:lineRule="auto"/>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9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prima@tau.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pak_bakri@unja.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asrial@unj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rayandra@unj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B35C-1B4E-444B-8135-8F181F54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13400</Words>
  <Characters>76382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89603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18</cp:revision>
  <cp:lastPrinted>2025-11-18T06:03:00Z</cp:lastPrinted>
  <dcterms:created xsi:type="dcterms:W3CDTF">2017-11-19T07:55:00Z</dcterms:created>
  <dcterms:modified xsi:type="dcterms:W3CDTF">2025-11-18T06:03:00Z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http://www.zotero.org/styles/institut-pertanian-bogor</vt:lpwstr>
  </property>
  <property fmtid="{D5CDD505-2E9C-101B-9397-08002B2CF9AE}" pid="11" name="Mendeley Recent Style Name 4_1">
    <vt:lpwstr>Institut Pertanian Bogor: Pedoman Penulisan Karya Ilmiah Edisi ke-4 (Indonesian)</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http://www.zotero.org/styles/new-journal-of-chemistry</vt:lpwstr>
  </property>
  <property fmtid="{D5CDD505-2E9C-101B-9397-08002B2CF9AE}" pid="19" name="Mendeley Recent Style Name 8_1">
    <vt:lpwstr>New Journal of Chemistry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http://www.zotero.org/styles/apa-6th-edition</vt:lpwstr>
  </property>
  <property fmtid="{D5CDD505-2E9C-101B-9397-08002B2CF9AE}" pid="23" name="Mendeley Document_1">
    <vt:lpwstr>True</vt:lpwstr>
  </property>
  <property fmtid="{D5CDD505-2E9C-101B-9397-08002B2CF9AE}" pid="24" name="Mendeley Unique User Id_1">
    <vt:lpwstr>b4d091c5-b033-3506-8a83-d186c7905ff2</vt:lpwstr>
  </property>
</Properties>
</file>